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SOFTWARE ANALYSIS DOCUMENTATION — SEQUENCE DIAGRAMS</w:t>
      </w:r>
    </w:p>
    <w:p>
      <w:pPr>
        <w:spacing w:after="400" w:before="400"/>
        <w:jc w:val="center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PROJECT: RENTAMOVIL — PLATFORM FOR A VEHICLE RENTAL COMPANY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TEAM MEMBERS:</w:t>
      </w:r>
      <w:r>
        <w:rPr>
          <w:rFonts w:ascii="Calibri" w:cs="Calibri" w:eastAsia="Calibri" w:hAnsi="Calibri"/>
          <w:sz w:val="21"/>
          <w:szCs w:val="21"/>
        </w:rPr>
        <w:t xml:space="preserve"> Thiago Fabian Rojas Guevara — David Santiago Erez Rodríguez — Nicole Dayana Ramírez Vargas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SERVICIO NACIONAL DE APRENDIZAJE — SENA — SOFTWARE ANALYSIS AND DEVELOPMENT 3145556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1. Introduction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document presents the sequence diagrams of RentaMovil's main flows: the messages exchanged between the actor, the API Gateway, the microservices and the database for each operation. It is the second of the four dynamic views of the software analysis; the use cases, the activity diagrams and the state diagrams are in separate documents inside this same folder.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 on service names:</w:t>
      </w:r>
      <w:r>
        <w:rPr>
          <w:rFonts w:ascii="Calibri" w:cs="Calibri" w:eastAsia="Calibri" w:hAnsi="Calibri"/>
          <w:sz w:val="21"/>
          <w:szCs w:val="21"/>
        </w:rPr>
        <w:t xml:space="preserve"> the diagrams use the physical deployment names of the microservices (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api-gateway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iam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fleet-maintenance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booking-reservation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payment-billing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telemetry-gps</w:t>
      </w:r>
      <w:r>
        <w:rPr>
          <w:rFonts w:ascii="Calibri" w:cs="Calibri" w:eastAsia="Calibri" w:hAnsi="Calibri"/>
          <w:sz w:val="21"/>
          <w:szCs w:val="21"/>
        </w:rPr>
        <w:t xml:space="preserve">), not the conceptual Bounded Context names from the SRS. The Rental Execution and Notification flows, which appear as their own contexts in the SRS, physically run inside </w:t>
      </w:r>
      <w:r>
        <w:rPr>
          <w:rFonts w:ascii="Consolas" w:cs="Consolas" w:eastAsia="Consolas" w:hAnsi="Consolas"/>
          <w:sz w:val="21"/>
          <w:szCs w:val="21"/>
          <w:shd w:fill="EFEFEF" w:val="clear"/>
        </w:rPr>
        <w:t xml:space="preserve">booking-reservation</w:t>
      </w:r>
      <w:r>
        <w:rPr>
          <w:rFonts w:ascii="Calibri" w:cs="Calibri" w:eastAsia="Calibri" w:hAnsi="Calibri"/>
          <w:sz w:val="21"/>
          <w:szCs w:val="21"/>
        </w:rPr>
        <w:t xml:space="preserve"> — they are part of the same lifecycle and don't need to be deployed as separate services.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SEQ-01 — Customer registration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FR1.1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visitor has no account in the system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Person and a User are created with the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role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SEQ-02 — Login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(or any registered user)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FR1.2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has an active account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access token and a refresh token are issued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54387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SEQ-03 — Create a reservation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FR3.1, FR2.2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authenticated; the vehicle exists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Reservation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created in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PENDING_PAYMENT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the Administrator is notified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28289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SEQ-04 — Pay for a reservation (receipt review)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Actors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Customer, Administrator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FR5.1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Reservation in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PENDING_PAYMENT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Reservation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CONFIRMED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(approved) or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PENDING_PAYMENT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CANCELLED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(rejected)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45910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SEQ-05 — Execute the rental (pickup, return and invoice)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FR4.1, FR4.2, FR5.2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Reservation in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CONFIRMED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Rental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completed,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Vehicle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available again, invoice generated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4248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SEQ-06 — Schedule and complete a maintenance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FR8.3, FR8.7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vehicle is not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RETIRED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Maintenance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COMPLETED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vehicle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AVAILABLE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again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45148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SEQ-07 — Real-time GPS tracking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FR6.1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vehicle is in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RENTED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status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last recorded location is returned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45529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References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01-informe-especificacion-requisitos/SRS.md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repository)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01-Use-Cases.md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folder)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 diagrams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03-Activity-Diagrams.md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folder)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diagrams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04-State-Diagrams.md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folder)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 events catalog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rtm-docs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repository,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02-domain/domain-events.md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Microservices catalog (physical deployment)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rtm-docs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repository,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09-microservices/service-catalog.md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RentaMovil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414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4040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60606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9e4d70923805fec26526f8f316ace6c7e94c4f1.png"/><Relationship Id="rId10" Type="http://schemas.openxmlformats.org/officeDocument/2006/relationships/image" Target="media/4cbca132a124a147ce842e179295fff3b4ba4bec.png"/><Relationship Id="rId11" Type="http://schemas.openxmlformats.org/officeDocument/2006/relationships/image" Target="media/d7a6d17315b691bc4f295c6bc155b92130317e59.png"/><Relationship Id="rId12" Type="http://schemas.openxmlformats.org/officeDocument/2006/relationships/image" Target="media/d7fec087d9087b7b6c74bbee20edee70ee24eaac.png"/><Relationship Id="rId13" Type="http://schemas.openxmlformats.org/officeDocument/2006/relationships/image" Target="media/0f3fef4744f0a462a205ecd68ff57216f5116edb.png"/><Relationship Id="rId14" Type="http://schemas.openxmlformats.org/officeDocument/2006/relationships/image" Target="media/f63bbe4d129ba53da4d0182b039cf60510f6cf87.png"/><Relationship Id="rId15" Type="http://schemas.openxmlformats.org/officeDocument/2006/relationships/image" Target="media/4eababd5d42992beaf4550a27f2c5cfbd84ca6a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2026-10-09T19:27:27.315Z</dcterms:created>
  <dcterms:modified xsi:type="dcterms:W3CDTF">2026-10-09T19:27:27.316Z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