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Playing Tougher for One’s Size:</w:t>
      </w:r>
      <w:r>
        <w:t xml:space="preserve"> </w:t>
      </w:r>
      <w:r>
        <w:t xml:space="preserve">Calibrated Size Above Expected in the NHL</w:t>
      </w:r>
    </w:p>
    <w:p>
      <w:pPr>
        <w:pStyle w:val="Author"/>
      </w:pPr>
      <w:r>
        <w:t xml:space="preserve">Rento Saijo</w:t>
      </w:r>
      <w:r>
        <w:rPr>
          <w:vertAlign w:val="superscript"/>
        </w:rPr>
        <w:t xml:space="preserve">1</w:t>
      </w:r>
      <w:r>
        <w:t xml:space="preserve">, Sian Lee</w:t>
      </w:r>
      <w:r>
        <w:rPr>
          <w:vertAlign w:val="superscript"/>
        </w:rPr>
        <w:t xml:space="preserve">2</w:t>
      </w:r>
      <w:r>
        <w:t xml:space="preserve">, Jeff Moher</w:t>
      </w:r>
      <w:r>
        <w:rPr>
          <w:vertAlign w:val="superscript"/>
        </w:rPr>
        <w:t xml:space="preserve">1</w:t>
      </w:r>
      <w:r>
        <w:t xml:space="preserve">, Yeongjun Seo</w:t>
      </w:r>
      <w:r>
        <w:rPr>
          <w:vertAlign w:val="superscript"/>
        </w:rPr>
        <w:t xml:space="preserve">3</w:t>
      </w:r>
      <w:r>
        <w:t xml:space="preserve">*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Connecticut College;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Michigan State University;</w:t>
      </w:r>
      <w:r>
        <w:t xml:space="preserve"> </w:t>
      </w:r>
      <w:r>
        <w:rPr>
          <w:vertAlign w:val="superscript"/>
        </w:rPr>
        <w:t xml:space="preserve">3</w:t>
      </w:r>
      <w:r>
        <w:t xml:space="preserve"> </w:t>
      </w:r>
      <w:r>
        <w:t xml:space="preserve">University of Tennessee, Knoxville</w:t>
      </w:r>
    </w:p>
    <w:p>
      <w:pPr>
        <w:pStyle w:val="BodyText"/>
      </w:pPr>
      <w:r>
        <w:t xml:space="preserve">* Corresponding author: yseo4@utk.edu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hockey, physical play involves contact and battles for the puck and space, but body size and hit counts alone do not quantify whether a player’s physical play exceeds or falls below expectations for their size. We develop calibrated size above expected (CSAx), a position-specific measure of physical play relative to listed size, to operationalize</w:t>
      </w:r>
      <w:r>
        <w:t xml:space="preserve"> </w:t>
      </w:r>
      <w:r>
        <w:rPr>
          <w:i/>
          <w:iCs/>
        </w:rPr>
        <w:t xml:space="preserve">playing tougher for one’s size</w:t>
      </w:r>
      <w:r>
        <w:t xml:space="preserve">. We examine its agreement with scouting reports and links to special-teams deployment, postseason hitting, and next-season continuation.</w:t>
      </w:r>
    </w:p>
    <w:bookmarkEnd w:id="9"/>
    <w:bookmarkStart w:id="1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NHL event data and All Three Zones’ manually tracked five-on-five data were combined, covering 1,485 forward- and 829 defenseman-seasons from 2021–22 through 2024–25. Separate ridge regressions for forwards and defensemen estimate behavior-implied size by predicting standardized size derived from listed height and weight. Predictors include six shared direct measures (e.g., hits delivered and received), six forward indirect measures (e.g., dump-in recoveries), and three defenseman indirect measures (e.g., entry-denial share). Held-out predictions are calibrated against listed size, and residuals are standardized within position and season: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S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num>
            <m:den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S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m</m:t>
              </m:r>
            </m:e>
          </m:acc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standardized listed size,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is behavior-implied size,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 expected behavior-implied size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calibrated residual, and</w:t>
      </w:r>
      <w:r>
        <w:t xml:space="preserve"> </w:t>
      </w: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are the mean and standard deviation of these residuals within each position and season. Higher CSAx indicates greater behavior-implied size after accounting for listed size. One rater, blinded to identity and CSAx, codes mentions of physical traits (e.g., checking, battles) in official NHL draft-year scouting reports published before the studied seasons. Linear models assess special-teams shares and returner ice time; logistic models assess next-season continuation (at least 300 NHL minutes); and Poisson models compare hit rates within player-seasons with ice-time offsets. Analyses adjust for listed size, age and age squared, current-season games dressed and ice time per game, five-on-five points per 60, relative shot attempts, and season. We compare regular-season games excluded from CSAx construction with each team’s first four postseason games, a common window regardless of advancement.</w:t>
      </w:r>
    </w:p>
    <w:bookmarkEnd w:id="10"/>
    <w:bookmarkStart w:id="14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Players with physical-trait mentions in earlier scouting reports have higher mean CSAx than those without, by 0.87 for forwards and 0.65 for defensemen (Figure 1).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bstract_mitssacrpc_files/figure-docx/scouting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Player-average CSAx by whether an earlier scouting report mentions active physical traits. Points represent players; diamonds mark group means. Mean differences, with 95% confidence intervals, suggest general agreement with earlier scouting descriptions.</w:t>
      </w:r>
    </w:p>
    <w:p>
      <w:pPr>
        <w:pStyle w:val="BodyText"/>
      </w:pPr>
      <w:r>
        <w:t xml:space="preserve">Higher CSAx is associated with a smaller share of players’ total ice time on power plays and a larger share killing penalties in both positions (Table 1). Among forwards, higher CSAx is associated with a lower postseason-to-regular-season hit-rate ratio; the defensemen estimate is uncertain. Higher CSAx also predicts next-season continuation, but not ice time among returners.</w:t>
      </w:r>
    </w:p>
    <w:p>
      <w:r>
        <w:br w:type="page"/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Adjusted comparisons of CSAx +1 versus -1 (95% player-clustered confidence intervals in parentheses). Postseason estimates are ratios of postseason-to-baseline hit-rate ratios (+1 divided by -1); all other estimates are differences (+1 minus -1).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96"/>
        <w:gridCol w:w="1911"/>
        <w:gridCol w:w="19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Forwards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Defensemen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Power-play share (percentage points)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-1.22 (-1.78, -0.67)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-0.88 (-1.51, -0.25)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Penalty-kill share (percentage points)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 (0.74, 2.06)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 (0.74, 1.89)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Postseason hit-rate (ratio)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 (0.69, 0.88)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(0.77, 1.05)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Next-season continuation (percentage points)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 (0.03, 5.81)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 (0.60, 7.86)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 time (min/game)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 (-0.36, 0.00)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 (-0.43, 0.14)</w:t>
            </w:r>
          </w:p>
        </w:tc>
      </w:tr>
    </w:tbl>
    <w:bookmarkEnd w:id="14"/>
    <w:bookmarkStart w:id="1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CSAx quantifies physical play relative to listed size, measuring</w:t>
      </w:r>
      <w:r>
        <w:t xml:space="preserve"> </w:t>
      </w:r>
      <w:r>
        <w:rPr>
          <w:i/>
          <w:iCs/>
        </w:rPr>
        <w:t xml:space="preserve">playing tougher for one’s size</w:t>
      </w:r>
      <w:r>
        <w:t xml:space="preserve">. The high-CSAx defenseman without a physical-trait mention highlights a scouting application: identifying smaller players whose engagement may be overlooked by absolute size. Agreement with scouting and associations with penalty-kill use and next-season continuation support relevance to specialized roles. Continuation without greater ice time among returners suggests CSAx captures playing style relevant to NHL participation. Alongside hits and scoring, CSAx adds a size-relative perspective on toughness and roster fit.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Playing Tougher for One’s Size: Calibrated Size Above Expected in the NHL</dc:title>
  <dc:creator>Rento Saijo1, Sian Lee2, Jeff Moher1, Yeongjun Seo3*</dc:creator>
  <cp:keywords/>
  <dcterms:created xsi:type="dcterms:W3CDTF">2026-10-02T00:07:45Z</dcterms:created>
  <dcterms:modified xsi:type="dcterms:W3CDTF">2026-10-02T00:07:45Z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orresponding_author">
    <vt:lpwstr>* Corresponding author: yseo4@utk.edu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