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12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 march 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Instreamsight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2</Pages>
  <Words>210</Words>
  <Characters>1421</Characters>
  <CharactersWithSpaces>1586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2025-03-16T12:55:18Z</dcterms:modified>
  <cp:revision>1</cp:revision>
  <dc:subject/>
  <dc:title/>
</cp:coreProperties>
</file>