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SWTID1741161768149906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RENUKA R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DHARSHINI A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 xml:space="preserve">Team member 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TAMILARASI D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4"/>
                <w:szCs w:val="24"/>
              </w:rPr>
              <w:t>NAGESHWARI R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News Category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API Integration for Real-Time news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API key to access the api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Watching News based on category.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UI/UX Testing (Responsiveness, Icons, Styling)</w:t>
        <w:br/>
      </w:r>
      <w:r>
        <w:rPr>
          <w:rFonts w:eastAsia="Arial Unicode MS" w:cs="Arial Unicode MS" w:ascii="Arial Unicode MS" w:hAnsi="Arial Unicode MS"/>
        </w:rPr>
        <w:t>✅</w:t>
      </w:r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60"/>
        <w:gridCol w:w="1861"/>
        <w:gridCol w:w="2280"/>
        <w:gridCol w:w="960"/>
        <w:gridCol w:w="1243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Select the news category 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Results won’t load.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Need API Key 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3</Pages>
  <Words>368</Words>
  <Characters>1976</Characters>
  <CharactersWithSpaces>2294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2025-03-16T12:54:59Z</dcterms:modified>
  <cp:revision>2</cp:revision>
  <dc:subject/>
  <dc:title/>
</cp:coreProperties>
</file>