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3.png" ContentType="image/png"/>
  <Override PartName="/word/media/rId30.png" ContentType="image/png"/>
  <Override PartName="/word/media/rId58.png" ContentType="image/png"/>
  <Override PartName="/word/media/rId55.png" ContentType="image/png"/>
  <Override PartName="/word/media/rId56.png" ContentType="image/png"/>
  <Override PartName="/word/media/rId49.png" ContentType="image/png"/>
  <Override PartName="/word/media/rId5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17505742bda3d2863a5535124906c88e368d823"/>
    <w:p>
      <w:pPr>
        <w:pStyle w:val="Heading1"/>
      </w:pPr>
      <w:r>
        <w:t xml:space="preserve">Multimodal Radiologic Breast Cancer Triage Using Graph-Infused Transformers: A Controlled Multi-Phase Evaluation and Reproducibility Audit</w:t>
      </w:r>
    </w:p>
    <w:p>
      <w:pPr>
        <w:pStyle w:val="FirstParagraph"/>
      </w:pPr>
      <w:r>
        <w:rPr>
          <w:bCs/>
          <w:b/>
        </w:rPr>
        <w:t xml:space="preserve">Authors:</w:t>
      </w:r>
      <w:r>
        <w:t xml:space="preserve"> </w:t>
      </w:r>
      <w:r>
        <w:t xml:space="preserve">Antigravity AI Research Consortium</w:t>
      </w:r>
      <w:r>
        <w:br/>
      </w:r>
      <w:r>
        <w:rPr>
          <w:bCs/>
          <w:b/>
        </w:rPr>
        <w:t xml:space="preserve">Date:</w:t>
      </w:r>
      <w:r>
        <w:t xml:space="preserve"> </w:t>
      </w:r>
      <w:r>
        <w:t xml:space="preserve">October 16, 2026</w:t>
      </w:r>
      <w:r>
        <w:br/>
      </w:r>
      <w:r>
        <w:rPr>
          <w:bCs/>
          <w:b/>
        </w:rPr>
        <w:t xml:space="preserve">Repository &amp; Artifact Archive:</w:t>
      </w:r>
      <w:r>
        <w:t xml:space="preserve"> </w:t>
      </w:r>
      <w:r>
        <w:rPr>
          <w:rStyle w:val="VerbatimChar"/>
        </w:rPr>
        <w:t xml:space="preserve">c:\Users\admin\Music\Breast Cancer1</w:t>
      </w:r>
      <w:r>
        <w:br/>
      </w:r>
      <w:r>
        <w:rPr>
          <w:bCs/>
          <w:b/>
        </w:rPr>
        <w:t xml:space="preserve">Execution Context:</w:t>
      </w:r>
      <w:r>
        <w:t xml:space="preserve"> </w:t>
      </w:r>
      <w:r>
        <w:t xml:space="preserve">Final Consolidated Research Manuscript (Phase D9)</w:t>
      </w:r>
      <w:r>
        <w:br/>
      </w:r>
      <w:r>
        <w:rPr>
          <w:bCs/>
          <w:b/>
        </w:rPr>
        <w:t xml:space="preserve">Correspondence:</w:t>
      </w:r>
      <w:r>
        <w:t xml:space="preserve"> </w:t>
      </w:r>
      <w:r>
        <w:t xml:space="preserve">AI Medical Imaging Research Division</w:t>
      </w:r>
    </w:p>
    <w:p>
      <w:r>
        <w:pict>
          <v:rect style="width:0;height:1.5pt" o:hralign="center" o:hrstd="t" o:hr="t"/>
        </w:pict>
      </w:r>
    </w:p>
    <w:bookmarkStart w:id="20" w:name="abstract"/>
    <w:p>
      <w:pPr>
        <w:pStyle w:val="Heading2"/>
      </w:pPr>
      <w:r>
        <w:t xml:space="preserve">Abstract</w:t>
      </w:r>
    </w:p>
    <w:p>
      <w:pPr>
        <w:pStyle w:val="FirstParagraph"/>
      </w:pPr>
      <w:r>
        <w:t xml:space="preserve">Automated radiologic breast cancer triage offers substantial potential to optimize screening workflows by expediting review of suspicious lesions while reducing false alarms in routine examinations. However, clinical adoption requires rigorous validation, leak-free patient-level data partitioning, and honest reporting of statistical uncertainty. In this study, we present a comprehensive, multi-phase investigation of a</w:t>
      </w:r>
      <w:r>
        <w:t xml:space="preserve"> </w:t>
      </w:r>
      <w:r>
        <w:rPr>
          <w:bCs/>
          <w:b/>
        </w:rPr>
        <w:t xml:space="preserve">Multimodal Graph-Infused Transformer (GIT)</w:t>
      </w:r>
      <w:r>
        <w:t xml:space="preserve"> </w:t>
      </w:r>
      <w:r>
        <w:t xml:space="preserve">architecture evaluated on the Breast Cancer Multimodal Imaging Dataset (BCMID), comprising paired digital mammography and ultrasound examinations.</w:t>
      </w:r>
    </w:p>
    <w:p>
      <w:pPr>
        <w:pStyle w:val="BodyText"/>
      </w:pPr>
      <w:r>
        <w:t xml:space="preserve">The architecture leverages frozen unimodal feature representations pre-extracted from an EfficientNet-B0 mammogram backbone (1280-dim) and a Vision Transformer (ViT-B/16) ultrasound backbone (768-dim), dynamically fused through a side-aware Graph Attention Network (GAT) and a multi-head cross-attention Transformer. Following systematic exploration of class-balanced focal loss (</w:t>
      </w:r>
      <m:oMath>
        <m:r>
          <m:t>γ</m:t>
        </m:r>
        <m:r>
          <m:rPr>
            <m:sty m:val="p"/>
          </m:rPr>
          <m:t>=</m:t>
        </m:r>
        <m:r>
          <m:t>1.5</m:t>
        </m:r>
        <m:r>
          <m:rPr>
            <m:sty m:val="p"/>
          </m:rPr>
          <m:t>,</m:t>
        </m:r>
        <m:r>
          <m:t>α</m:t>
        </m:r>
        <m:r>
          <m:rPr>
            <m:sty m:val="p"/>
          </m:rPr>
          <m:t>=</m:t>
        </m:r>
        <m:r>
          <m:rPr>
            <m:sty m:val="p"/>
          </m:rPr>
          <m:t>[</m:t>
        </m:r>
        <m:r>
          <m:t>1.0</m:t>
        </m:r>
        <m:r>
          <m:rPr>
            <m:sty m:val="p"/>
          </m:rPr>
          <m:t>,</m:t>
        </m:r>
        <m:r>
          <m:t>5.1111</m:t>
        </m:r>
        <m:r>
          <m:rPr>
            <m:sty m:val="p"/>
          </m:rPr>
          <m:t>]</m:t>
        </m:r>
      </m:oMath>
      <w:r>
        <w:t xml:space="preserve">) to address severe class imbalance (</w:t>
      </w:r>
      <m:oMath>
        <m:r>
          <m:t>5.1</m:t>
        </m:r>
        <m:r>
          <m:rPr>
            <m:sty m:val="p"/>
          </m:rPr>
          <m:t>:</m:t>
        </m:r>
        <m:r>
          <m:t>1</m:t>
        </m:r>
      </m:oMath>
      <w:r>
        <w:t xml:space="preserve"> </w:t>
      </w:r>
      <w:r>
        <w:t xml:space="preserve">negative-to-positive ratio), Candidate</w:t>
      </w:r>
      <w:r>
        <w:t xml:space="preserve"> </w:t>
      </w:r>
      <w:r>
        <w:rPr>
          <w:bCs/>
          <w:b/>
        </w:rPr>
        <w:t xml:space="preserve">C3</w:t>
      </w:r>
      <w:r>
        <w:t xml:space="preserve"> </w:t>
      </w:r>
      <w:r>
        <w:t xml:space="preserve">was established as the primary benchmark. A controlled hyperparameter exploration on validation data selected Candidate</w:t>
      </w:r>
      <w:r>
        <w:t xml:space="preserve"> </w:t>
      </w:r>
      <w:r>
        <w:rPr>
          <w:bCs/>
          <w:b/>
        </w:rPr>
        <w:t xml:space="preserve">D5</w:t>
      </w:r>
      <w:r>
        <w:t xml:space="preserve"> </w:t>
      </w:r>
      <w:r>
        <w:t xml:space="preserve">(halved learning rate</w:t>
      </w:r>
      <w:r>
        <w:t xml:space="preserve"> </w:t>
      </w:r>
      <m:oMath>
        <m:r>
          <m:rPr>
            <m:nor/>
            <m:sty m:val="p"/>
          </m:rPr>
          <m:t>lr</m:t>
        </m:r>
        <m:r>
          <m:rPr>
            <m:sty m:val="p"/>
          </m:rPr>
          <m:t>=</m:t>
        </m:r>
        <m:r>
          <m:t>5</m:t>
        </m:r>
        <m:r>
          <m:rPr>
            <m:sty m:val="p"/>
          </m:rPr>
          <m:t>×</m:t>
        </m:r>
        <m:sSup>
          <m:e>
            <m:r>
              <m:t>10</m:t>
            </m:r>
          </m:e>
          <m:sup>
            <m:r>
              <m:rPr>
                <m:sty m:val="p"/>
              </m:rPr>
              <m:t>−</m:t>
            </m:r>
            <m:r>
              <m:t>5</m:t>
            </m:r>
          </m:sup>
        </m:sSup>
      </m:oMath>
      <w:r>
        <w:t xml:space="preserve">) based on validation sensitivity gains (</w:t>
      </w:r>
      <m:oMath>
        <m:r>
          <m:t>87.50</m:t>
        </m:r>
        <m:r>
          <m:rPr>
            <m:sty m:val="p"/>
          </m:rPr>
          <m:t>%</m:t>
        </m:r>
      </m:oMath>
      <w:r>
        <w:t xml:space="preserve"> </w:t>
      </w:r>
      <w:r>
        <w:t xml:space="preserve">vs. </w:t>
      </w:r>
      <m:oMath>
        <m:r>
          <m:t>75.00</m:t>
        </m:r>
        <m:r>
          <m:rPr>
            <m:sty m:val="p"/>
          </m:rPr>
          <m:t>%</m:t>
        </m:r>
      </m:oMath>
      <w:r>
        <w:t xml:space="preserve">,</w:t>
      </w:r>
      <w:r>
        <w:t xml:space="preserve"> </w:t>
      </w:r>
      <m:oMath>
        <m:r>
          <m:rPr>
            <m:sty m:val="p"/>
          </m:rPr>
          <m:t>+</m:t>
        </m:r>
        <m:r>
          <m:t>1</m:t>
        </m:r>
      </m:oMath>
      <w:r>
        <w:t xml:space="preserve"> </w:t>
      </w:r>
      <w:r>
        <w:t xml:space="preserve">patient detected).</w:t>
      </w:r>
    </w:p>
    <w:p>
      <w:pPr>
        <w:pStyle w:val="BodyText"/>
      </w:pPr>
      <w:r>
        <w:t xml:space="preserve">Following upstream development and quarantine during Phase D1–D7, the 47-patient held-out test cohort (</w:t>
      </w:r>
      <m:oMath>
        <m:sSub>
          <m:e>
            <m:r>
              <m:t>N</m:t>
            </m:r>
          </m:e>
          <m:sub>
            <m:r>
              <m:rPr>
                <m:nor/>
                <m:sty m:val="p"/>
              </m:rPr>
              <m:t>pos</m:t>
            </m:r>
          </m:sub>
        </m:sSub>
        <m:r>
          <m:rPr>
            <m:sty m:val="p"/>
          </m:rPr>
          <m:t>=</m:t>
        </m:r>
        <m:r>
          <m:t>7</m:t>
        </m:r>
      </m:oMath>
      <w:r>
        <w:t xml:space="preserve">,</w:t>
      </w:r>
      <w:r>
        <w:t xml:space="preserve"> </w:t>
      </w:r>
      <m:oMath>
        <m:sSub>
          <m:e>
            <m:r>
              <m:t>N</m:t>
            </m:r>
          </m:e>
          <m:sub>
            <m:r>
              <m:rPr>
                <m:nor/>
                <m:sty m:val="p"/>
              </m:rPr>
              <m:t>neg</m:t>
            </m:r>
          </m:sub>
        </m:sSub>
        <m:r>
          <m:rPr>
            <m:sty m:val="p"/>
          </m:rPr>
          <m:t>=</m:t>
        </m:r>
        <m:r>
          <m:t>40</m:t>
        </m:r>
      </m:oMath>
      <w:r>
        <w:t xml:space="preserve">) was unblinded once for a locked evaluation at the canonical operating threshold</w:t>
      </w:r>
      <w:r>
        <w:t xml:space="preserve"> </w:t>
      </w:r>
      <m:oMath>
        <m:r>
          <m:t>τ</m:t>
        </m:r>
        <m:r>
          <m:rPr>
            <m:sty m:val="p"/>
          </m:rPr>
          <m:t>=</m:t>
        </m:r>
        <m:r>
          <m:t>0.50</m:t>
        </m:r>
      </m:oMath>
      <w:r>
        <w:t xml:space="preserve">. On held-out test data, both models achieved identical cancer detection yield (</w:t>
      </w:r>
      <m:oMath>
        <m:r>
          <m:t>85.71</m:t>
        </m:r>
        <m:r>
          <m:rPr>
            <m:sty m:val="p"/>
          </m:rPr>
          <m:t>%</m:t>
        </m:r>
      </m:oMath>
      <w:r>
        <w:rPr>
          <w:bCs/>
          <w:b/>
        </w:rPr>
        <w:t xml:space="preserve"> </w:t>
      </w:r>
      <w:r>
        <w:rPr>
          <w:bCs/>
          <w:b/>
        </w:rPr>
        <w:t xml:space="preserve">sensitivity, 6 of 7 suspicious/actionable cases triaged</w:t>
      </w:r>
      <w:r>
        <w:t xml:space="preserve">, missing the exact same BI-RADS 5 patient). However, Candidate D5 misclassified two additional benign patients as suspicious, resulting in lower specificity (</w:t>
      </w:r>
      <m:oMath>
        <m:r>
          <m:t>80.00</m:t>
        </m:r>
        <m:r>
          <m:rPr>
            <m:sty m:val="p"/>
          </m:rPr>
          <m:t>%</m:t>
        </m:r>
      </m:oMath>
      <w:r>
        <w:t xml:space="preserve"> </w:t>
      </w:r>
      <w:r>
        <w:t xml:space="preserve">vs. </w:t>
      </w:r>
      <m:oMath>
        <m:r>
          <m:t>85.00</m:t>
        </m:r>
        <m:r>
          <m:rPr>
            <m:sty m:val="p"/>
          </m:rPr>
          <m:t>%</m:t>
        </m:r>
      </m:oMath>
      <w:r>
        <w:t xml:space="preserve">, 8 vs. 6 false positives), accuracy (</w:t>
      </w:r>
      <m:oMath>
        <m:r>
          <m:t>80.85</m:t>
        </m:r>
        <m:r>
          <m:rPr>
            <m:sty m:val="p"/>
          </m:rPr>
          <m:t>%</m:t>
        </m:r>
      </m:oMath>
      <w:r>
        <w:t xml:space="preserve"> </w:t>
      </w:r>
      <w:r>
        <w:t xml:space="preserve">vs. </w:t>
      </w:r>
      <m:oMath>
        <m:r>
          <m:t>85.11</m:t>
        </m:r>
        <m:r>
          <m:rPr>
            <m:sty m:val="p"/>
          </m:rPr>
          <m:t>%</m:t>
        </m:r>
      </m:oMath>
      <w:r>
        <w:t xml:space="preserve">), precision (</w:t>
      </w:r>
      <m:oMath>
        <m:r>
          <m:t>42.86</m:t>
        </m:r>
        <m:r>
          <m:rPr>
            <m:sty m:val="p"/>
          </m:rPr>
          <m:t>%</m:t>
        </m:r>
      </m:oMath>
      <w:r>
        <w:t xml:space="preserve"> </w:t>
      </w:r>
      <w:r>
        <w:t xml:space="preserve">vs. </w:t>
      </w:r>
      <m:oMath>
        <m:r>
          <m:t>50.00</m:t>
        </m:r>
        <m:r>
          <m:rPr>
            <m:sty m:val="p"/>
          </m:rPr>
          <m:t>%</m:t>
        </m:r>
      </m:oMath>
      <w:r>
        <w:t xml:space="preserve">), F1-score (</w:t>
      </w:r>
      <m:oMath>
        <m:r>
          <m:t>0.5714</m:t>
        </m:r>
      </m:oMath>
      <w:r>
        <w:t xml:space="preserve"> </w:t>
      </w:r>
      <w:r>
        <w:t xml:space="preserve">vs. </w:t>
      </w:r>
      <m:oMath>
        <m:r>
          <m:t>0.6316</m:t>
        </m:r>
      </m:oMath>
      <w:r>
        <w:t xml:space="preserve">), and ROC-AUC (</w:t>
      </w:r>
      <m:oMath>
        <m:r>
          <m:t>0.8964</m:t>
        </m:r>
      </m:oMath>
      <w:r>
        <w:t xml:space="preserve"> </w:t>
      </w:r>
      <w:r>
        <w:t xml:space="preserve">vs. </w:t>
      </w:r>
      <m:oMath>
        <m:r>
          <m:t>0.9036</m:t>
        </m:r>
      </m:oMath>
      <w:r>
        <w:t xml:space="preserve">). A paired McNemar exact test confirmed statistical equivalence (</w:t>
      </w:r>
      <m:oMath>
        <m:r>
          <m:t>p</m:t>
        </m:r>
        <m:r>
          <m:rPr>
            <m:sty m:val="p"/>
          </m:rPr>
          <m:t>=</m:t>
        </m:r>
        <m:r>
          <m:t>0.5000</m:t>
        </m:r>
      </m:oMath>
      <w:r>
        <w:t xml:space="preserve">,</w:t>
      </w:r>
      <w:r>
        <w:t xml:space="preserve"> </w:t>
      </w:r>
      <m:oMath>
        <m:r>
          <m:t>95.74</m:t>
        </m:r>
        <m:r>
          <m:rPr>
            <m:sty m:val="p"/>
          </m:rPr>
          <m:t>%</m:t>
        </m:r>
      </m:oMath>
      <w:r>
        <w:t xml:space="preserve"> </w:t>
      </w:r>
      <w:r>
        <w:t xml:space="preserve">classification agreement).</w:t>
      </w:r>
    </w:p>
    <w:p>
      <w:pPr>
        <w:pStyle w:val="BodyText"/>
      </w:pPr>
      <w:r>
        <w:t xml:space="preserve">Due to the limited test cohort size (</w:t>
      </w:r>
      <m:oMath>
        <m:r>
          <m:t>N</m:t>
        </m:r>
        <m:r>
          <m:rPr>
            <m:sty m:val="p"/>
          </m:rPr>
          <m:t>=</m:t>
        </m:r>
        <m:r>
          <m:t>47</m:t>
        </m:r>
      </m:oMath>
      <w:r>
        <w:t xml:space="preserve">) and small positive sample size (</w:t>
      </w:r>
      <m:oMath>
        <m:sSub>
          <m:e>
            <m:r>
              <m:t>N</m:t>
            </m:r>
          </m:e>
          <m:sub>
            <m:r>
              <m:rPr>
                <m:nor/>
                <m:sty m:val="p"/>
              </m:rPr>
              <m:t>pos</m:t>
            </m:r>
          </m:sub>
        </m:sSub>
        <m:r>
          <m:rPr>
            <m:sty m:val="p"/>
          </m:rPr>
          <m:t>=</m:t>
        </m:r>
        <m:r>
          <m:t>7</m:t>
        </m:r>
      </m:oMath>
      <w:r>
        <w:t xml:space="preserve">), the 95% Clopper-Pearson exact confidence interval for sensitivity spans from</w:t>
      </w:r>
      <w:r>
        <w:t xml:space="preserve"> </w:t>
      </w:r>
      <m:oMath>
        <m:r>
          <m:t>42.13</m:t>
        </m:r>
        <m:r>
          <m:rPr>
            <m:sty m:val="p"/>
          </m:rPr>
          <m:t>%</m:t>
        </m:r>
      </m:oMath>
      <w:r>
        <w:t xml:space="preserve"> </w:t>
      </w:r>
      <w:r>
        <w:t xml:space="preserve">to</w:t>
      </w:r>
      <w:r>
        <w:t xml:space="preserve"> </w:t>
      </w:r>
      <m:oMath>
        <m:r>
          <m:t>99.64</m:t>
        </m:r>
        <m:r>
          <m:rPr>
            <m:sty m:val="p"/>
          </m:rPr>
          <m:t>%</m:t>
        </m:r>
      </m:oMath>
      <w:r>
        <w:t xml:space="preserve">. We provide a complete forensic reconciliation of historical metrics, transparently resolving earlier transcription discrepancies. We conclude that Candidate C3 remains the preferred reference benchmark, but emphasize that these results represent internal retrospective proof-of-concept evidence rather than definitive clinical diagnostic validation.</w:t>
      </w:r>
    </w:p>
    <w:p>
      <w:r>
        <w:pict>
          <v:rect style="width:0;height:1.5pt" o:hralign="center" o:hrstd="t" o:hr="t"/>
        </w:pict>
      </w:r>
    </w:p>
    <w:bookmarkEnd w:id="20"/>
    <w:bookmarkStart w:id="21" w:name="keywords"/>
    <w:p>
      <w:pPr>
        <w:pStyle w:val="Heading2"/>
      </w:pPr>
      <w:r>
        <w:t xml:space="preserve">Keywords</w:t>
      </w:r>
    </w:p>
    <w:p>
      <w:pPr>
        <w:pStyle w:val="FirstParagraph"/>
      </w:pPr>
      <w:r>
        <w:t xml:space="preserve">Radiologic Breast Triage, Multimodal Deep Learning, Graph Attention Networks, Cross-Modal Transformers, Class-Balanced Focal Loss, BCMID Dataset, Decision Calibration, Scientific Reproducibility.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Breast cancer is the most frequently diagnosed malignancy and a leading cause of cancer mortality among women worldwide [1, 2]. Population-based mammographic screening programs have successfully reduced disease-specific mortality through early detection. However, standard two-dimensional full-field digital mammography (FFDM) suffers from well-documented diagnostic limitations, particularly in women with dense fibroglandular breast tissue, where overlapping dense tissue frequently obscures malignant lesions (the</w:t>
      </w:r>
      <w:r>
        <w:t xml:space="preserve"> </w:t>
      </w:r>
      <w:r>
        <w:t xml:space="preserve">“</w:t>
      </w:r>
      <w:r>
        <w:t xml:space="preserve">masking effect</w:t>
      </w:r>
      <w:r>
        <w:t xml:space="preserve">”</w:t>
      </w:r>
      <w:r>
        <w:t xml:space="preserve">), leading to reduced sensitivity [3]. Complementary automated breast ultrasound (US) significantly enhances cancer detection in dense breasts, yet manual sonographic interpretation is time-consuming, highly operator-dependent, and prone to high false-positive rates that induce unnecessary tissue biopsies and substantial patient anxiety [3].</w:t>
      </w:r>
    </w:p>
    <w:p>
      <w:pPr>
        <w:pStyle w:val="BodyText"/>
      </w:pPr>
      <w:r>
        <w:t xml:space="preserve">Automated radiologic triage offers a compelling technical solution to this clinical dilemma. Rather than attempting to establish an autonomous pathology diagnosis, a radiologic triage system classifies multi-view screening examinations into two operational categories:</w:t>
      </w:r>
      <w:r>
        <w:t xml:space="preserve"> </w:t>
      </w:r>
      <w:r>
        <w:t xml:space="preserve">1.</w:t>
      </w:r>
      <w:r>
        <w:t xml:space="preserve"> </w:t>
      </w:r>
      <w:r>
        <w:rPr>
          <w:bCs/>
          <w:b/>
        </w:rPr>
        <w:t xml:space="preserve">Low-Risk Screening (</w:t>
      </w:r>
      <w:r>
        <w:rPr>
          <w:rStyle w:val="VerbatimChar"/>
          <w:bCs/>
          <w:b/>
        </w:rPr>
        <w:t xml:space="preserve">LOW_RISK</w:t>
      </w:r>
      <w:r>
        <w:rPr>
          <w:bCs/>
          <w:b/>
        </w:rPr>
        <w:t xml:space="preserve">):</w:t>
      </w:r>
      <w:r>
        <w:t xml:space="preserve"> </w:t>
      </w:r>
      <w:r>
        <w:t xml:space="preserve">Examinations categorized as BI-RADS (Breast Imaging Reporting and Data System) Categories 1 (negative), 2 (benign findings), or 3 (probably benign findings requiring routine interval screening), which can be safely cleared through standard workflows.</w:t>
      </w:r>
      <w:r>
        <w:t xml:space="preserve"> </w:t>
      </w:r>
      <w:r>
        <w:t xml:space="preserve">2.</w:t>
      </w:r>
      <w:r>
        <w:t xml:space="preserve"> </w:t>
      </w:r>
      <w:r>
        <w:rPr>
          <w:bCs/>
          <w:b/>
        </w:rPr>
        <w:t xml:space="preserve">Suspicious / Actionable Screening (</w:t>
      </w:r>
      <w:r>
        <w:rPr>
          <w:rStyle w:val="VerbatimChar"/>
          <w:bCs/>
          <w:b/>
        </w:rPr>
        <w:t xml:space="preserve">SUSPICIOUS_ACTIONABLE</w:t>
      </w:r>
      <w:r>
        <w:rPr>
          <w:bCs/>
          <w:b/>
        </w:rPr>
        <w:t xml:space="preserve">):</w:t>
      </w:r>
      <w:r>
        <w:t xml:space="preserve"> </w:t>
      </w:r>
      <w:r>
        <w:t xml:space="preserve">Examinations categorized as BI-RADS Categories 4A, 4B, 4C (suspicious abnormality), 5 (highly suggestive of malignancy), or 6 (known biopsy-proven malignancy), which demand urgent prioritized radiologist review and diagnostic tissue biopsy.</w:t>
      </w:r>
    </w:p>
    <w:p>
      <w:pPr>
        <w:pStyle w:val="BodyText"/>
      </w:pPr>
      <w:r>
        <w:t xml:space="preserve">Despite the proliferation of deep learning models in medical imaging, widespread clinical translation has been hindered by severe methodological vulnerabilities. Published literature frequently exhibits data leakage across patient visits, lack of patient-level split stratification, over-reliance on overall accuracy in imbalanced cohorts, and post-hoc threshold optimization that artificially inflates test-set metrics [4, 5].</w:t>
      </w:r>
    </w:p>
    <w:p>
      <w:pPr>
        <w:pStyle w:val="BodyText"/>
      </w:pPr>
      <w:r>
        <w:t xml:space="preserve">To address these challenges, this study presents a rigorous, fully auditable investigation of multimodal graph-and-transformer fusion using the Breast Cancer Multimodal Imaging Dataset (BCMID) [6]. We enforce strict methodological principles:</w:t>
      </w:r>
      <w:r>
        <w:t xml:space="preserve"> </w:t>
      </w:r>
      <w:r>
        <w:t xml:space="preserve">- Complete root-patient split stratification with zero leakage across partitions.</w:t>
      </w:r>
      <w:r>
        <w:t xml:space="preserve"> </w:t>
      </w:r>
      <w:r>
        <w:t xml:space="preserve">- Complete isolation of the held-out test cohort throughout all model development, loss modulation, hyperparameter tuning, and threshold calibration phases.</w:t>
      </w:r>
      <w:r>
        <w:t xml:space="preserve"> </w:t>
      </w:r>
      <w:r>
        <w:t xml:space="preserve">- Transparent reporting of point metrics alongside exact counts, fractions, Wilson score intervals, Clopper-Pearson exact binomial bounds, and stratified bootstrap distributions.</w:t>
      </w:r>
      <w:r>
        <w:t xml:space="preserve"> </w:t>
      </w:r>
      <w:r>
        <w:t xml:space="preserve">- A forensic audit reconciling historical metric discrepancies across prior project phases.</w:t>
      </w:r>
    </w:p>
    <w:p>
      <w:r>
        <w:pict>
          <v:rect style="width:0;height:1.5pt" o:hralign="center" o:hrstd="t" o:hr="t"/>
        </w:pict>
      </w:r>
    </w:p>
    <w:bookmarkEnd w:id="22"/>
    <w:bookmarkStart w:id="27" w:name="related-work"/>
    <w:p>
      <w:pPr>
        <w:pStyle w:val="Heading2"/>
      </w:pPr>
      <w:r>
        <w:t xml:space="preserve">2. Related Work</w:t>
      </w:r>
    </w:p>
    <w:bookmarkStart w:id="23" w:name="multimodal-fusion-in-breast-imaging"/>
    <w:p>
      <w:pPr>
        <w:pStyle w:val="Heading3"/>
      </w:pPr>
      <w:r>
        <w:t xml:space="preserve">2.1 Multimodal Fusion in Breast Imaging</w:t>
      </w:r>
    </w:p>
    <w:p>
      <w:pPr>
        <w:pStyle w:val="FirstParagraph"/>
      </w:pPr>
      <w:r>
        <w:t xml:space="preserve">Combining digital mammography and ultrasound has been extensively demonstrated to increase diagnostic sensitivity, particularly for occult lesions in dense breasts [3]. Early computational approaches relied on late fusion, averaging predicted probabilities from independent convolutional neural networks (CNNs) [7]. More recent architectures explore cross-attention mechanisms, where feature tokens from mammographic projections query sonographic feature maps [8]. However, standard attention mechanisms often ignore spatial and anatomical relationships between views (e.g., matching ipsilateral craniocaudal [CC] and mediolateral oblique [MLO] mammographic projections with targeted ipsilateral ultrasound sweeps).</w:t>
      </w:r>
    </w:p>
    <w:bookmarkEnd w:id="23"/>
    <w:bookmarkStart w:id="24" w:name="X502146a1162db852725886712f444d050ffefd1"/>
    <w:p>
      <w:pPr>
        <w:pStyle w:val="Heading3"/>
      </w:pPr>
      <w:r>
        <w:t xml:space="preserve">2.2 Graph Neural Networks in Medical Computer Vision</w:t>
      </w:r>
    </w:p>
    <w:p>
      <w:pPr>
        <w:pStyle w:val="FirstParagraph"/>
      </w:pPr>
      <w:r>
        <w:t xml:space="preserve">Graph Neural Networks (GNNs), and specifically Graph Attention Networks (GATs) [9], provide a mathematically principled framework for modeling non-Euclidean relational inductive biases. In multi-view medical imaging, individual images can be treated as graph nodes, while edges represent anatomical side relationships (ipsilateral vs. contralateral) or lesion proximities. Incorporating anatomical side embeddings into graph attention layers enables the network to aggregate multi-view evidence adaptively while penalizing discordant contralateral features.</w:t>
      </w:r>
    </w:p>
    <w:bookmarkEnd w:id="24"/>
    <w:bookmarkStart w:id="25" w:name="class-imbalance-focal-modulation"/>
    <w:p>
      <w:pPr>
        <w:pStyle w:val="Heading3"/>
      </w:pPr>
      <w:r>
        <w:t xml:space="preserve">2.3 Class Imbalance &amp; Focal Modulation</w:t>
      </w:r>
    </w:p>
    <w:p>
      <w:pPr>
        <w:pStyle w:val="FirstParagraph"/>
      </w:pPr>
      <w:r>
        <w:t xml:space="preserve">Breast cancer screening populations are heavily dominated by normal and benign examinations, typically resulting in negative-to-positive ratios exceeding</w:t>
      </w:r>
      <w:r>
        <w:t xml:space="preserve"> </w:t>
      </w:r>
      <m:oMath>
        <m:r>
          <m:t>5</m:t>
        </m:r>
        <m:r>
          <m:rPr>
            <m:sty m:val="p"/>
          </m:rPr>
          <m:t>:</m:t>
        </m:r>
        <m:r>
          <m:t>1</m:t>
        </m:r>
      </m:oMath>
      <w:r>
        <w:t xml:space="preserve"> </w:t>
      </w:r>
      <w:r>
        <w:t xml:space="preserve">in clinical cohorts [10]. Standard binary cross-entropy (BCE) loss tends to produce trivial majority-class classifiers that achieve high accuracy while failing to detect positive malignancies. While weighted BCE addresses marginal class frequencies, it treats easy and difficult samples identically. Focal loss, introduced by Lin et al. [11] and extended by Cui et al. [12], down-weights the gradient contribution of well-classified easy negative examples via a focusing parameter</w:t>
      </w:r>
      <w:r>
        <w:t xml:space="preserve"> </w:t>
      </w:r>
      <m:oMath>
        <m:r>
          <m:t>γ</m:t>
        </m:r>
      </m:oMath>
      <w:r>
        <w:t xml:space="preserve">, forcing the network to concentrate gradients on hard, ambiguous borderline cases.</w:t>
      </w:r>
    </w:p>
    <w:bookmarkEnd w:id="25"/>
    <w:bookmarkStart w:id="26" w:name="probability-calibration-in-clinical-ai"/>
    <w:p>
      <w:pPr>
        <w:pStyle w:val="Heading3"/>
      </w:pPr>
      <w:r>
        <w:t xml:space="preserve">2.4 Probability Calibration in Clinical AI</w:t>
      </w:r>
    </w:p>
    <w:p>
      <w:pPr>
        <w:pStyle w:val="FirstParagraph"/>
      </w:pPr>
      <w:r>
        <w:t xml:space="preserve">A model with high discriminative ability (ROC-AUC) can nevertheless be dangerously miscalibrated if its predicted probabilities do not correspond to true empirical risks [13]. In clinical triage, poorly calibrated probabilities distort threshold selection and erode clinician trust. Brier score [14] and Expected Calibration Error (ECE) [13] serve as essential evaluation dimensions alongside discrete diagnostic classification metrics.</w:t>
      </w:r>
    </w:p>
    <w:p>
      <w:r>
        <w:pict>
          <v:rect style="width:0;height:1.5pt" o:hralign="center" o:hrstd="t" o:hr="t"/>
        </w:pict>
      </w:r>
    </w:p>
    <w:bookmarkEnd w:id="26"/>
    <w:bookmarkEnd w:id="27"/>
    <w:bookmarkStart w:id="32" w:name="X50dffac5b262a9ca2bdf97b46f8c5f518b6b9a7"/>
    <w:p>
      <w:pPr>
        <w:pStyle w:val="Heading2"/>
      </w:pPr>
      <w:r>
        <w:t xml:space="preserve">3. Dataset, Label Semantics &amp; Patient-Level Splitting</w:t>
      </w:r>
    </w:p>
    <w:bookmarkStart w:id="28" w:name="the-bcmid-cohort"/>
    <w:p>
      <w:pPr>
        <w:pStyle w:val="Heading3"/>
      </w:pPr>
      <w:r>
        <w:t xml:space="preserve">3.1 The BCMID Cohort</w:t>
      </w:r>
    </w:p>
    <w:p>
      <w:pPr>
        <w:pStyle w:val="FirstParagraph"/>
      </w:pPr>
      <w:r>
        <w:t xml:space="preserve">The Breast Cancer Multimodal Imaging Dataset (BCMID) is a pioneering medical imaging repository collected retrospectively from</w:t>
      </w:r>
      <w:r>
        <w:t xml:space="preserve"> </w:t>
      </w:r>
      <w:r>
        <w:rPr>
          <w:bCs/>
          <w:b/>
        </w:rPr>
        <w:t xml:space="preserve">Ayady Almostakbal Hospital in Alexandria, Egypt</w:t>
      </w:r>
      <w:r>
        <w:t xml:space="preserve">, between 2019 and 2022, and hosted on Zenodo (Record 15546909) [6]. The dataset provides paired multimodal imaging examinations—digital mammograms (CC and MLO views) and targeted ultrasound sweeps—alongside structured radiological reports and BI-RADS diagnostic assessments.</w:t>
      </w:r>
    </w:p>
    <w:p>
      <w:pPr>
        <w:pStyle w:val="SourceCode"/>
      </w:pPr>
      <w:r>
        <w:rPr>
          <w:rStyle w:val="VerbatimChar"/>
        </w:rPr>
        <w:t xml:space="preserve">+--------------------------------------------------------------------------------------------------+</w:t>
      </w:r>
      <w:r>
        <w:br/>
      </w:r>
      <w:r>
        <w:rPr>
          <w:rStyle w:val="VerbatimChar"/>
        </w:rPr>
        <w:t xml:space="preserve">|                                    BCMID COHORT HIERARCHY                                        |</w:t>
      </w:r>
      <w:r>
        <w:br/>
      </w:r>
      <w:r>
        <w:rPr>
          <w:rStyle w:val="VerbatimChar"/>
        </w:rPr>
        <w:t xml:space="preserve">+--------------------------------------------------------------------------------------------------+</w:t>
      </w:r>
      <w:r>
        <w:br/>
      </w:r>
      <w:r>
        <w:rPr>
          <w:rStyle w:val="VerbatimChar"/>
        </w:rPr>
        <w:t xml:space="preserve">| Total Raw Patient Folders in Repository                                             332 folders  |</w:t>
      </w:r>
      <w:r>
        <w:br/>
      </w:r>
      <w:r>
        <w:rPr>
          <w:rStyle w:val="VerbatimChar"/>
        </w:rPr>
        <w:t xml:space="preserve">|   └── Excluded Non-Diagnostic Cases (11 NONE, 5 INDETERMINATE, 1 Category 0)         -17 folders  |</w:t>
      </w:r>
      <w:r>
        <w:br/>
      </w:r>
      <w:r>
        <w:rPr>
          <w:rStyle w:val="VerbatimChar"/>
        </w:rPr>
        <w:t xml:space="preserve">|                                                                                                  |</w:t>
      </w:r>
      <w:r>
        <w:br/>
      </w:r>
      <w:r>
        <w:rPr>
          <w:rStyle w:val="VerbatimChar"/>
        </w:rPr>
        <w:t xml:space="preserve">| Audited Eligible Cohort                                                             315 folders  |</w:t>
      </w:r>
      <w:r>
        <w:br/>
      </w:r>
      <w:r>
        <w:rPr>
          <w:rStyle w:val="VerbatimChar"/>
        </w:rPr>
        <w:t xml:space="preserve">|   └── Unique Biological Root Patients                                               311 patients |</w:t>
      </w:r>
      <w:r>
        <w:br/>
      </w:r>
      <w:r>
        <w:rPr>
          <w:rStyle w:val="VerbatimChar"/>
        </w:rPr>
        <w:t xml:space="preserve">|   └── Longitudinal / Bilateral Repeat Visits (4 patients x 2 folders)                +4 folders  |</w:t>
      </w:r>
      <w:r>
        <w:br/>
      </w:r>
      <w:r>
        <w:rPr>
          <w:rStyle w:val="VerbatimChar"/>
        </w:rPr>
        <w:t xml:space="preserve">+--------------------------------------------------------------------------------------------------+</w:t>
      </w:r>
    </w:p>
    <w:bookmarkEnd w:id="28"/>
    <w:bookmarkStart w:id="29" w:name="label-definitions-semantics"/>
    <w:p>
      <w:pPr>
        <w:pStyle w:val="Heading3"/>
      </w:pPr>
      <w:r>
        <w:t xml:space="preserve">3.2 Label Definitions &amp; Semantics</w:t>
      </w:r>
    </w:p>
    <w:p>
      <w:pPr>
        <w:pStyle w:val="FirstParagraph"/>
      </w:pPr>
      <w:r>
        <w:t xml:space="preserve">Radiological findings were mapped to standard American College of Radiology (ACR) BI-RADS assessment categories [2]:</w:t>
      </w:r>
      <w:r>
        <w:t xml:space="preserve"> </w:t>
      </w:r>
      <w:r>
        <w:t xml:space="preserve">-</w:t>
      </w:r>
      <w:r>
        <w:t xml:space="preserve"> </w:t>
      </w:r>
      <w:r>
        <w:rPr>
          <w:bCs/>
          <w:b/>
        </w:rPr>
        <w:t xml:space="preserve">Class 0 (</w:t>
      </w:r>
      <w:r>
        <w:rPr>
          <w:rStyle w:val="VerbatimChar"/>
          <w:bCs/>
          <w:b/>
        </w:rPr>
        <w:t xml:space="preserve">LOW_RISK</w:t>
      </w:r>
      <w:r>
        <w:rPr>
          <w:bCs/>
          <w:b/>
        </w:rPr>
        <w:t xml:space="preserve">):</w:t>
      </w:r>
      <w:r>
        <w:t xml:space="preserve"> </w:t>
      </w:r>
      <w:r>
        <w:t xml:space="preserve">BI-RADS 1 (negative), BI-RADS 2 (benign findings, e.g., simple cysts, benign calcifications), and BI-RADS 3 (probably benign findings). These cases represent routine screening examinations that require routine annual screening or short-term imaging follow-up.</w:t>
      </w:r>
      <w:r>
        <w:t xml:space="preserve"> </w:t>
      </w:r>
      <w:r>
        <w:t xml:space="preserve">-</w:t>
      </w:r>
      <w:r>
        <w:t xml:space="preserve"> </w:t>
      </w:r>
      <w:r>
        <w:rPr>
          <w:bCs/>
          <w:b/>
        </w:rPr>
        <w:t xml:space="preserve">Class 1 (</w:t>
      </w:r>
      <w:r>
        <w:rPr>
          <w:rStyle w:val="VerbatimChar"/>
          <w:bCs/>
          <w:b/>
        </w:rPr>
        <w:t xml:space="preserve">SUSPICIOUS_ACTIONABLE</w:t>
      </w:r>
      <w:r>
        <w:rPr>
          <w:bCs/>
          <w:b/>
        </w:rPr>
        <w:t xml:space="preserve">):</w:t>
      </w:r>
      <w:r>
        <w:t xml:space="preserve"> </w:t>
      </w:r>
      <w:r>
        <w:t xml:space="preserve">BI-RADS 4A, 4B, 4C (suspicious abnormalities requiring tissue biopsy), BI-RADS 5 (highly suggestive of malignancy, risk</w:t>
      </w:r>
      <w:r>
        <w:t xml:space="preserve"> </w:t>
      </w:r>
      <m:oMath>
        <m:r>
          <m:rPr>
            <m:sty m:val="p"/>
          </m:rPr>
          <m:t>&gt;</m:t>
        </m:r>
        <m:r>
          <m:t>95</m:t>
        </m:r>
        <m:r>
          <m:rPr>
            <m:sty m:val="p"/>
          </m:rPr>
          <m:t>%</m:t>
        </m:r>
      </m:oMath>
      <w:r>
        <w:t xml:space="preserve">), and BI-RADS 6 (biopsy-proven malignancy).</w:t>
      </w:r>
    </w:p>
    <w:bookmarkEnd w:id="29"/>
    <w:bookmarkStart w:id="31" w:name="patient-level-stratified-partitioning"/>
    <w:p>
      <w:pPr>
        <w:pStyle w:val="Heading3"/>
      </w:pPr>
      <w:r>
        <w:t xml:space="preserve">3.3 Patient-Level Stratified Partitioning</w:t>
      </w:r>
    </w:p>
    <w:p>
      <w:pPr>
        <w:pStyle w:val="FirstParagraph"/>
      </w:pPr>
      <w:r>
        <w:t xml:space="preserve">To guarantee zero data contamination across examinations, splitting was performed strictly at the</w:t>
      </w:r>
      <w:r>
        <w:t xml:space="preserve"> </w:t>
      </w:r>
      <w:r>
        <w:rPr>
          <w:bCs/>
          <w:b/>
        </w:rPr>
        <w:t xml:space="preserve">biological root-patient level</w:t>
      </w:r>
      <w:r>
        <w:t xml:space="preserve"> </w:t>
      </w:r>
      <w:r>
        <w:t xml:space="preserve">(</w:t>
      </w:r>
      <w:r>
        <w:rPr>
          <w:rStyle w:val="VerbatimChar"/>
        </w:rPr>
        <w:t xml:space="preserve">root_patient_id</w:t>
      </w:r>
      <w:r>
        <w:t xml:space="preserve">), ensuring that multi-folder examinations from the same patient remained confined within the same split:</w:t>
      </w:r>
    </w:p>
    <w:tbl>
      <w:tblPr>
        <w:tblStyle w:val="Table"/>
        <w:tblW w:type="pct" w:w="5000.0"/>
        <w:tblLook w:firstRow="1" w:lastRow="0" w:firstColumn="0" w:lastColumn="0" w:noHBand="0" w:noVBand="0" w:val="0020"/>
      </w:tblPr>
      <w:tblGrid>
        <w:gridCol w:w="931"/>
        <w:gridCol w:w="1164"/>
        <w:gridCol w:w="1164"/>
        <w:gridCol w:w="1164"/>
        <w:gridCol w:w="1164"/>
        <w:gridCol w:w="1164"/>
        <w:gridCol w:w="1164"/>
      </w:tblGrid>
      <w:tr>
        <w:tc>
          <w:p>
            <w:pPr>
              <w:pStyle w:val="Compact"/>
              <w:jc w:val="left"/>
            </w:pPr>
            <w:r>
              <w:t xml:space="preserve">Cohort Partition</w:t>
            </w:r>
          </w:p>
        </w:tc>
        <w:tc>
          <w:p>
            <w:pPr>
              <w:pStyle w:val="Compact"/>
              <w:jc w:val="center"/>
            </w:pPr>
            <w:r>
              <w:t xml:space="preserve">Unique Biological Patients</w:t>
            </w:r>
          </w:p>
        </w:tc>
        <w:tc>
          <w:p>
            <w:pPr>
              <w:pStyle w:val="Compact"/>
              <w:jc w:val="center"/>
            </w:pPr>
            <w:r>
              <w:t xml:space="preserve">Total Patient Folders</w:t>
            </w:r>
          </w:p>
        </w:tc>
        <w:tc>
          <w:p>
            <w:pPr>
              <w:pStyle w:val="Compact"/>
              <w:jc w:val="center"/>
            </w:pPr>
            <w:r>
              <w:t xml:space="preserve">Class 0 (</w:t>
            </w:r>
            <w:r>
              <w:rPr>
                <w:rStyle w:val="VerbatimChar"/>
              </w:rPr>
              <w:t xml:space="preserve">LOW_RISK</w:t>
            </w:r>
            <w:r>
              <w:t xml:space="preserve">)</w:t>
            </w:r>
          </w:p>
        </w:tc>
        <w:tc>
          <w:p>
            <w:pPr>
              <w:pStyle w:val="Compact"/>
              <w:jc w:val="center"/>
            </w:pPr>
            <w:r>
              <w:t xml:space="preserve">Class 1 (</w:t>
            </w:r>
            <w:r>
              <w:rPr>
                <w:rStyle w:val="VerbatimChar"/>
              </w:rPr>
              <w:t xml:space="preserve">SUSPICIOUS</w:t>
            </w:r>
            <w:r>
              <w:t xml:space="preserve">)</w:t>
            </w:r>
          </w:p>
        </w:tc>
        <w:tc>
          <w:p>
            <w:pPr>
              <w:pStyle w:val="Compact"/>
              <w:jc w:val="center"/>
            </w:pPr>
            <w:r>
              <w:t xml:space="preserve">Class Ratio (Neg / Pos)</w:t>
            </w:r>
          </w:p>
        </w:tc>
        <w:tc>
          <w:p>
            <w:pPr>
              <w:pStyle w:val="Compact"/>
              <w:jc w:val="center"/>
            </w:pPr>
            <w:r>
              <w:t xml:space="preserve">Total Images (MG / US)</w:t>
            </w:r>
          </w:p>
        </w:tc>
      </w:tr>
      <w:tr>
        <w:tc>
          <w:p>
            <w:pPr>
              <w:pStyle w:val="Compact"/>
              <w:jc w:val="left"/>
            </w:pPr>
            <w:r>
              <w:rPr>
                <w:bCs/>
                <w:b/>
              </w:rPr>
              <w:t xml:space="preserve">Training (70%)</w:t>
            </w:r>
          </w:p>
        </w:tc>
        <w:tc>
          <w:p>
            <w:pPr>
              <w:pStyle w:val="Compact"/>
              <w:jc w:val="center"/>
            </w:pPr>
            <w:r>
              <w:t xml:space="preserve">217</w:t>
            </w:r>
          </w:p>
        </w:tc>
        <w:tc>
          <w:p>
            <w:pPr>
              <w:pStyle w:val="Compact"/>
              <w:jc w:val="center"/>
            </w:pPr>
            <w:r>
              <w:rPr>
                <w:bCs/>
                <w:b/>
              </w:rPr>
              <w:t xml:space="preserve">220</w:t>
            </w:r>
          </w:p>
        </w:tc>
        <w:tc>
          <w:p>
            <w:pPr>
              <w:pStyle w:val="Compact"/>
              <w:jc w:val="center"/>
            </w:pPr>
            <w:r>
              <w:t xml:space="preserve">184 (83.64%)</w:t>
            </w:r>
          </w:p>
        </w:tc>
        <w:tc>
          <w:p>
            <w:pPr>
              <w:pStyle w:val="Compact"/>
              <w:jc w:val="center"/>
            </w:pPr>
            <w:r>
              <w:t xml:space="preserve">36 (16.36%)</w:t>
            </w:r>
          </w:p>
        </w:tc>
        <w:tc>
          <w:p>
            <w:pPr>
              <w:pStyle w:val="Compact"/>
              <w:jc w:val="center"/>
            </w:pPr>
            <w:r>
              <w:t xml:space="preserve">5.1111 : 1</w:t>
            </w:r>
          </w:p>
        </w:tc>
        <w:tc>
          <w:p>
            <w:pPr>
              <w:pStyle w:val="Compact"/>
              <w:jc w:val="center"/>
            </w:pPr>
            <w:r>
              <w:t xml:space="preserve">644 / 671</w:t>
            </w:r>
          </w:p>
        </w:tc>
      </w:tr>
      <w:tr>
        <w:tc>
          <w:p>
            <w:pPr>
              <w:pStyle w:val="Compact"/>
              <w:jc w:val="left"/>
            </w:pPr>
            <w:r>
              <w:rPr>
                <w:bCs/>
                <w:b/>
              </w:rPr>
              <w:t xml:space="preserve">Validation (15%)</w:t>
            </w:r>
          </w:p>
        </w:tc>
        <w:tc>
          <w:p>
            <w:pPr>
              <w:pStyle w:val="Compact"/>
              <w:jc w:val="center"/>
            </w:pPr>
            <w:r>
              <w:t xml:space="preserve">47</w:t>
            </w:r>
          </w:p>
        </w:tc>
        <w:tc>
          <w:p>
            <w:pPr>
              <w:pStyle w:val="Compact"/>
              <w:jc w:val="center"/>
            </w:pPr>
            <w:r>
              <w:rPr>
                <w:bCs/>
                <w:b/>
              </w:rPr>
              <w:t xml:space="preserve">48</w:t>
            </w:r>
          </w:p>
        </w:tc>
        <w:tc>
          <w:p>
            <w:pPr>
              <w:pStyle w:val="Compact"/>
              <w:jc w:val="center"/>
            </w:pPr>
            <w:r>
              <w:t xml:space="preserve">40 (83.33%)</w:t>
            </w:r>
          </w:p>
        </w:tc>
        <w:tc>
          <w:p>
            <w:pPr>
              <w:pStyle w:val="Compact"/>
              <w:jc w:val="center"/>
            </w:pPr>
            <w:r>
              <w:t xml:space="preserve">8 (16.67%)</w:t>
            </w:r>
          </w:p>
        </w:tc>
        <w:tc>
          <w:p>
            <w:pPr>
              <w:pStyle w:val="Compact"/>
              <w:jc w:val="center"/>
            </w:pPr>
            <w:r>
              <w:t xml:space="preserve">5.0000 : 1</w:t>
            </w:r>
          </w:p>
        </w:tc>
        <w:tc>
          <w:p>
            <w:pPr>
              <w:pStyle w:val="Compact"/>
              <w:jc w:val="center"/>
            </w:pPr>
            <w:r>
              <w:t xml:space="preserve">138 / 135</w:t>
            </w:r>
          </w:p>
        </w:tc>
      </w:tr>
      <w:tr>
        <w:tc>
          <w:p>
            <w:pPr>
              <w:pStyle w:val="Compact"/>
              <w:jc w:val="left"/>
            </w:pPr>
            <w:r>
              <w:rPr>
                <w:bCs/>
                <w:b/>
              </w:rPr>
              <w:t xml:space="preserve">Held-Out Test (15%)</w:t>
            </w:r>
          </w:p>
        </w:tc>
        <w:tc>
          <w:p>
            <w:pPr>
              <w:pStyle w:val="Compact"/>
              <w:jc w:val="center"/>
            </w:pPr>
            <w:r>
              <w:t xml:space="preserve">47</w:t>
            </w:r>
          </w:p>
        </w:tc>
        <w:tc>
          <w:p>
            <w:pPr>
              <w:pStyle w:val="Compact"/>
              <w:jc w:val="center"/>
            </w:pPr>
            <w:r>
              <w:rPr>
                <w:bCs/>
                <w:b/>
              </w:rPr>
              <w:t xml:space="preserve">47</w:t>
            </w:r>
          </w:p>
        </w:tc>
        <w:tc>
          <w:p>
            <w:pPr>
              <w:pStyle w:val="Compact"/>
              <w:jc w:val="center"/>
            </w:pPr>
            <w:r>
              <w:t xml:space="preserve">40 (85.11%)</w:t>
            </w:r>
          </w:p>
        </w:tc>
        <w:tc>
          <w:p>
            <w:pPr>
              <w:pStyle w:val="Compact"/>
              <w:jc w:val="center"/>
            </w:pPr>
            <w:r>
              <w:t xml:space="preserve">7 (14.89%)</w:t>
            </w:r>
          </w:p>
        </w:tc>
        <w:tc>
          <w:p>
            <w:pPr>
              <w:pStyle w:val="Compact"/>
              <w:jc w:val="center"/>
            </w:pPr>
            <w:r>
              <w:t xml:space="preserve">5.7143 : 1</w:t>
            </w:r>
          </w:p>
        </w:tc>
        <w:tc>
          <w:p>
            <w:pPr>
              <w:pStyle w:val="Compact"/>
              <w:jc w:val="center"/>
            </w:pPr>
            <w:r>
              <w:t xml:space="preserve">132 / 150</w:t>
            </w:r>
          </w:p>
        </w:tc>
      </w:tr>
      <w:tr>
        <w:tc>
          <w:p>
            <w:pPr>
              <w:pStyle w:val="Compact"/>
              <w:jc w:val="left"/>
            </w:pPr>
            <w:r>
              <w:rPr>
                <w:bCs/>
                <w:b/>
              </w:rPr>
              <w:t xml:space="preserve">Total Eligible</w:t>
            </w:r>
          </w:p>
        </w:tc>
        <w:tc>
          <w:p>
            <w:pPr>
              <w:pStyle w:val="Compact"/>
              <w:jc w:val="center"/>
            </w:pPr>
            <w:r>
              <w:rPr>
                <w:bCs/>
                <w:b/>
              </w:rPr>
              <w:t xml:space="preserve">311</w:t>
            </w:r>
          </w:p>
        </w:tc>
        <w:tc>
          <w:p>
            <w:pPr>
              <w:pStyle w:val="Compact"/>
              <w:jc w:val="center"/>
            </w:pPr>
            <w:r>
              <w:rPr>
                <w:bCs/>
                <w:b/>
              </w:rPr>
              <w:t xml:space="preserve">315</w:t>
            </w:r>
          </w:p>
        </w:tc>
        <w:tc>
          <w:p>
            <w:pPr>
              <w:pStyle w:val="Compact"/>
              <w:jc w:val="center"/>
            </w:pPr>
            <w:r>
              <w:rPr>
                <w:bCs/>
                <w:b/>
              </w:rPr>
              <w:t xml:space="preserve">264</w:t>
            </w:r>
            <w:r>
              <w:t xml:space="preserve"> </w:t>
            </w:r>
            <w:r>
              <w:t xml:space="preserve">(83.81%)</w:t>
            </w:r>
          </w:p>
        </w:tc>
        <w:tc>
          <w:p>
            <w:pPr>
              <w:pStyle w:val="Compact"/>
              <w:jc w:val="center"/>
            </w:pPr>
            <w:r>
              <w:rPr>
                <w:bCs/>
                <w:b/>
              </w:rPr>
              <w:t xml:space="preserve">51</w:t>
            </w:r>
            <w:r>
              <w:t xml:space="preserve"> </w:t>
            </w:r>
            <w:r>
              <w:t xml:space="preserve">(16.19%)</w:t>
            </w:r>
          </w:p>
        </w:tc>
        <w:tc>
          <w:p>
            <w:pPr>
              <w:pStyle w:val="Compact"/>
              <w:jc w:val="center"/>
            </w:pPr>
            <w:r>
              <w:t xml:space="preserve">5.1765 : 1</w:t>
            </w:r>
          </w:p>
        </w:tc>
        <w:tc>
          <w:p>
            <w:pPr>
              <w:pStyle w:val="Compact"/>
              <w:jc w:val="center"/>
            </w:pPr>
            <w:r>
              <w:rPr>
                <w:bCs/>
                <w:b/>
              </w:rPr>
              <w:t xml:space="preserve">914 / 956</w:t>
            </w:r>
          </w:p>
        </w:tc>
      </w:tr>
    </w:tbl>
    <w:p>
      <w:pPr>
        <w:pStyle w:val="BodyText"/>
      </w:pPr>
      <w:r>
        <w:t xml:space="preserve">The four repeat-visit root patients were distributed such that Multi-Visit Patient Groups R1, R2, and R3 (6 folders) reside exclusively in Training, while Group R4 (2 folders) resides exclusively in Validation. The held-out test cohort contains</w:t>
      </w:r>
      <w:r>
        <w:t xml:space="preserve"> </w:t>
      </w:r>
      <w:r>
        <w:rPr>
          <w:bCs/>
          <w:b/>
        </w:rPr>
        <w:t xml:space="preserve">zero repeat visits</w:t>
      </w:r>
      <w:r>
        <w:t xml:space="preserve">, representing 47 completely unique biological subjects. Partition intersections are strictly null (</w:t>
      </w:r>
      <m:oMath>
        <m:r>
          <m:rPr>
            <m:nor/>
            <m:sty m:val="p"/>
          </m:rPr>
          <m:t>Train</m:t>
        </m:r>
        <m:r>
          <m:rPr>
            <m:sty m:val="p"/>
          </m:rPr>
          <m:t>∩</m:t>
        </m:r>
        <m:r>
          <m:rPr>
            <m:nor/>
            <m:sty m:val="p"/>
          </m:rPr>
          <m:t>Val</m:t>
        </m:r>
        <m:r>
          <m:rPr>
            <m:sty m:val="p"/>
          </m:rPr>
          <m:t>=</m:t>
        </m:r>
        <m:r>
          <m:rPr>
            <m:sty m:val="p"/>
          </m:rPr>
          <m:t>∅</m:t>
        </m:r>
      </m:oMath>
      <w:r>
        <w:t xml:space="preserve">,</w:t>
      </w:r>
      <w:r>
        <w:t xml:space="preserve"> </w:t>
      </w:r>
      <m:oMath>
        <m:r>
          <m:rPr>
            <m:nor/>
            <m:sty m:val="p"/>
          </m:rPr>
          <m:t>Train</m:t>
        </m:r>
        <m:r>
          <m:rPr>
            <m:sty m:val="p"/>
          </m:rPr>
          <m:t>∩</m:t>
        </m:r>
        <m:r>
          <m:rPr>
            <m:nor/>
            <m:sty m:val="p"/>
          </m:rPr>
          <m:t>Test</m:t>
        </m:r>
        <m:r>
          <m:rPr>
            <m:sty m:val="p"/>
          </m:rPr>
          <m:t>=</m:t>
        </m:r>
        <m:r>
          <m:rPr>
            <m:sty m:val="p"/>
          </m:rPr>
          <m:t>∅</m:t>
        </m:r>
      </m:oMath>
      <w:r>
        <w:t xml:space="preserve">,</w:t>
      </w:r>
      <w:r>
        <w:t xml:space="preserve"> </w:t>
      </w:r>
      <m:oMath>
        <m:r>
          <m:rPr>
            <m:nor/>
            <m:sty m:val="p"/>
          </m:rPr>
          <m:t>Val</m:t>
        </m:r>
        <m:r>
          <m:rPr>
            <m:sty m:val="p"/>
          </m:rPr>
          <m:t>∩</m:t>
        </m:r>
        <m:r>
          <m:rPr>
            <m:nor/>
            <m:sty m:val="p"/>
          </m:rPr>
          <m:t>Test</m:t>
        </m:r>
        <m:r>
          <m:rPr>
            <m:sty m:val="p"/>
          </m:rPr>
          <m:t>=</m:t>
        </m:r>
        <m:r>
          <m:rPr>
            <m:sty m:val="p"/>
          </m:rPr>
          <m:t>∅</m:t>
        </m:r>
      </m:oMath>
      <w:r>
        <w:t xml:space="preserve">).</w:t>
      </w:r>
    </w:p>
    <w:p>
      <w:pPr>
        <w:pStyle w:val="BodyText"/>
      </w:pPr>
      <w:r>
        <w:t xml:space="preserve">The complete cohort hierarchy and partition flow is illustrated in</w:t>
      </w:r>
      <w:r>
        <w:t xml:space="preserve"> </w:t>
      </w:r>
      <w:r>
        <w:rPr>
          <w:bCs/>
          <w:b/>
        </w:rPr>
        <w:t xml:space="preserve">Figure 1</w:t>
      </w:r>
      <w:r>
        <w:t xml:space="preserve">:</w:t>
      </w:r>
    </w:p>
    <w:p>
      <w:pPr>
        <w:pStyle w:val="BodyText"/>
      </w:pPr>
      <w:r>
        <w:drawing>
          <wp:inline>
            <wp:extent cx="5334000" cy="3111500"/>
            <wp:effectExtent b="0" l="0" r="0" t="0"/>
            <wp:docPr descr="Dataset Flowchart" title="" id="1" name="Picture"/>
            <a:graphic>
              <a:graphicData uri="http://schemas.openxmlformats.org/drawingml/2006/picture">
                <pic:pic>
                  <pic:nvPicPr>
                    <pic:cNvPr descr="figures/dataset_split_flowchart.png" id="0" name="Picture"/>
                    <pic:cNvPicPr>
                      <a:picLocks noChangeArrowheads="1" noChangeAspect="1"/>
                    </pic:cNvPicPr>
                  </pic:nvPicPr>
                  <pic:blipFill>
                    <a:blip r:embed="rId30"/>
                    <a:stretch>
                      <a:fillRect/>
                    </a:stretch>
                  </pic:blipFill>
                  <pic:spPr bwMode="auto">
                    <a:xfrm>
                      <a:off x="0" y="0"/>
                      <a:ext cx="5334000" cy="3111500"/>
                    </a:xfrm>
                    <a:prstGeom prst="rect">
                      <a:avLst/>
                    </a:prstGeom>
                    <a:noFill/>
                    <a:ln w="9525">
                      <a:noFill/>
                      <a:headEnd/>
                      <a:tailEnd/>
                    </a:ln>
                  </pic:spPr>
                </pic:pic>
              </a:graphicData>
            </a:graphic>
          </wp:inline>
        </w:drawing>
      </w:r>
      <w:r>
        <w:t xml:space="preserve"> </w:t>
      </w:r>
      <w:r>
        <w:rPr>
          <w:iCs/>
          <w:i/>
        </w:rPr>
        <w:t xml:space="preserve">Figure 1: BCMID Patient-Level Stratified Cohort Flowchart and Split Architecture.</w:t>
      </w:r>
    </w:p>
    <w:p>
      <w:r>
        <w:pict>
          <v:rect style="width:0;height:1.5pt" o:hralign="center" o:hrstd="t" o:hr="t"/>
        </w:pict>
      </w:r>
    </w:p>
    <w:bookmarkEnd w:id="31"/>
    <w:bookmarkEnd w:id="32"/>
    <w:bookmarkStart w:id="39" w:name="Xf8574b2b2c23827b96c45212f13673493d7d004"/>
    <w:p>
      <w:pPr>
        <w:pStyle w:val="Heading2"/>
      </w:pPr>
      <w:r>
        <w:t xml:space="preserve">4. Proposed Methodology: Multimodal Graph-Infused Transformer (GIT)</w:t>
      </w:r>
    </w:p>
    <w:p>
      <w:pPr>
        <w:pStyle w:val="FirstParagraph"/>
      </w:pPr>
      <w:r>
        <w:t xml:space="preserve">The implemented pipeline combines frozen unimodal vision encoders with an expressive graph attention and cross-modal Transformer architecture, depicted in</w:t>
      </w:r>
      <w:r>
        <w:t xml:space="preserve"> </w:t>
      </w:r>
      <w:r>
        <w:rPr>
          <w:bCs/>
          <w:b/>
        </w:rPr>
        <w:t xml:space="preserve">Figure 2</w:t>
      </w:r>
      <w:r>
        <w:t xml:space="preserve">:</w:t>
      </w:r>
    </w:p>
    <w:p>
      <w:pPr>
        <w:pStyle w:val="BodyText"/>
      </w:pPr>
      <w:r>
        <w:drawing>
          <wp:inline>
            <wp:extent cx="5334000" cy="2667000"/>
            <wp:effectExtent b="0" l="0" r="0" t="0"/>
            <wp:docPr descr="Architecture Diagram" title="" id="1" name="Picture"/>
            <a:graphic>
              <a:graphicData uri="http://schemas.openxmlformats.org/drawingml/2006/picture">
                <pic:pic>
                  <pic:nvPicPr>
                    <pic:cNvPr descr="figures/architecture_pipeline_diagram.png" id="0"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Cs/>
          <w:i/>
        </w:rPr>
        <w:t xml:space="preserve">Figure 2: Multimodal Graph-Infused Transformer (GIT) Architecture for Radiologic Breast Triage.</w:t>
      </w:r>
    </w:p>
    <w:bookmarkStart w:id="35" w:name="frozen-feature-extraction"/>
    <w:p>
      <w:pPr>
        <w:pStyle w:val="Heading3"/>
      </w:pPr>
      <w:r>
        <w:t xml:space="preserve">4.1 Frozen Feature Extraction</w:t>
      </w:r>
    </w:p>
    <w:p>
      <w:pPr>
        <w:pStyle w:val="FirstParagraph"/>
      </w:pPr>
      <w:r>
        <w:t xml:space="preserve">To ensure computational efficiency and avoid catastrophic forgetting on limited data, vision encoders were pre-trained on unimodal tasks and frozen:</w:t>
      </w:r>
      <w:r>
        <w:t xml:space="preserve"> </w:t>
      </w:r>
      <w:r>
        <w:t xml:space="preserve">1.</w:t>
      </w:r>
      <w:r>
        <w:t xml:space="preserve"> </w:t>
      </w:r>
      <w:r>
        <w:rPr>
          <w:bCs/>
          <w:b/>
        </w:rPr>
        <w:t xml:space="preserve">Mammogram Feature Encoder (</w:t>
      </w:r>
      <m:oMath>
        <m:sSub>
          <m:e>
            <m:r>
              <m:rPr>
                <m:sty m:val="b"/>
              </m:rPr>
              <m:t>E</m:t>
            </m:r>
          </m:e>
          <m:sub>
            <m:r>
              <m:rPr>
                <m:nor/>
                <m:sty m:val="p"/>
              </m:rPr>
              <m:t>MG</m:t>
            </m:r>
          </m:sub>
        </m:sSub>
      </m:oMath>
      <w:r>
        <w:rPr>
          <w:bCs/>
          <w:b/>
        </w:rPr>
        <w:t xml:space="preserve">):</w:t>
      </w:r>
      <w:r>
        <w:t xml:space="preserve"> </w:t>
      </w:r>
      <w:r>
        <w:t xml:space="preserve">An EfficientNet-B0 backbone [15] pre-trained on mammographic images, extracting a 1280-dimensional feature vector per view (</w:t>
      </w:r>
      <m:oMath>
        <m:sSub>
          <m:e>
            <m:r>
              <m:rPr>
                <m:sty m:val="b"/>
              </m:rPr>
              <m:t>f</m:t>
            </m:r>
          </m:e>
          <m:sub>
            <m:r>
              <m:rPr>
                <m:nor/>
                <m:sty m:val="p"/>
              </m:rPr>
              <m:t>MG</m:t>
            </m:r>
          </m:sub>
        </m:sSub>
        <m:r>
          <m:rPr>
            <m:sty m:val="p"/>
          </m:rPr>
          <m:t>∈</m:t>
        </m:r>
        <m:sSup>
          <m:e>
            <m:r>
              <m:rPr>
                <m:sty m:val="p"/>
                <m:scr m:val="double-struck"/>
              </m:rPr>
              <m:t>R</m:t>
            </m:r>
          </m:e>
          <m:sup>
            <m:r>
              <m:t>1280</m:t>
            </m:r>
          </m:sup>
        </m:sSup>
      </m:oMath>
      <w:r>
        <w:t xml:space="preserve">).</w:t>
      </w:r>
      <w:r>
        <w:t xml:space="preserve"> </w:t>
      </w:r>
      <w:r>
        <w:t xml:space="preserve">2.</w:t>
      </w:r>
      <w:r>
        <w:t xml:space="preserve"> </w:t>
      </w:r>
      <w:r>
        <w:rPr>
          <w:bCs/>
          <w:b/>
        </w:rPr>
        <w:t xml:space="preserve">Ultrasound Feature Encoder (</w:t>
      </w:r>
      <m:oMath>
        <m:sSub>
          <m:e>
            <m:r>
              <m:rPr>
                <m:sty m:val="b"/>
              </m:rPr>
              <m:t>E</m:t>
            </m:r>
          </m:e>
          <m:sub>
            <m:r>
              <m:rPr>
                <m:nor/>
                <m:sty m:val="p"/>
              </m:rPr>
              <m:t>US</m:t>
            </m:r>
          </m:sub>
        </m:sSub>
      </m:oMath>
      <w:r>
        <w:rPr>
          <w:bCs/>
          <w:b/>
        </w:rPr>
        <w:t xml:space="preserve">):</w:t>
      </w:r>
      <w:r>
        <w:t xml:space="preserve"> </w:t>
      </w:r>
      <w:r>
        <w:t xml:space="preserve">A Vision Transformer (ViT-B/16) backbone [16] pre-trained on sonographic images, extracting a 768-dimensional feature vector per view (</w:t>
      </w:r>
      <m:oMath>
        <m:sSub>
          <m:e>
            <m:r>
              <m:rPr>
                <m:sty m:val="b"/>
              </m:rPr>
              <m:t>f</m:t>
            </m:r>
          </m:e>
          <m:sub>
            <m:r>
              <m:rPr>
                <m:nor/>
                <m:sty m:val="p"/>
              </m:rPr>
              <m:t>US</m:t>
            </m:r>
          </m:sub>
        </m:sSub>
        <m:r>
          <m:rPr>
            <m:sty m:val="p"/>
          </m:rPr>
          <m:t>∈</m:t>
        </m:r>
        <m:sSup>
          <m:e>
            <m:r>
              <m:rPr>
                <m:sty m:val="p"/>
                <m:scr m:val="double-struck"/>
              </m:rPr>
              <m:t>R</m:t>
            </m:r>
          </m:e>
          <m:sup>
            <m:r>
              <m:t>768</m:t>
            </m:r>
          </m:sup>
        </m:sSup>
      </m:oMath>
      <w:r>
        <w:t xml:space="preserve">).</w:t>
      </w:r>
    </w:p>
    <w:p>
      <w:pPr>
        <w:pStyle w:val="BodyText"/>
      </w:pPr>
      <w:r>
        <w:t xml:space="preserve">Features were pre-extracted into a locked binary cache</w:t>
      </w:r>
      <w:r>
        <w:t xml:space="preserve"> </w:t>
      </w:r>
      <w:hyperlink r:id="rId34">
        <w:r>
          <w:rPr>
            <w:rStyle w:val="VerbatimChar"/>
          </w:rPr>
          <w:t xml:space="preserve">data/features/patient_multimodal_features.pt</w:t>
        </w:r>
      </w:hyperlink>
      <w:r>
        <w:t xml:space="preserve"> </w:t>
      </w:r>
      <w:r>
        <w:t xml:space="preserve">under</w:t>
      </w:r>
      <w:r>
        <w:t xml:space="preserve"> </w:t>
      </w:r>
      <w:r>
        <w:rPr>
          <w:rStyle w:val="VerbatimChar"/>
        </w:rPr>
        <w:t xml:space="preserve">torch.no_grad()</w:t>
      </w:r>
      <w:r>
        <w:t xml:space="preserve">.</w:t>
      </w:r>
    </w:p>
    <w:bookmarkEnd w:id="35"/>
    <w:bookmarkStart w:id="36" w:name="side-aware-graph-attention-layer-gat"/>
    <w:p>
      <w:pPr>
        <w:pStyle w:val="Heading3"/>
      </w:pPr>
      <w:r>
        <w:t xml:space="preserve">4.2 Side-Aware Graph Attention Layer (GAT)</w:t>
      </w:r>
    </w:p>
    <w:p>
      <w:pPr>
        <w:pStyle w:val="FirstParagraph"/>
      </w:pPr>
      <w:r>
        <w:t xml:space="preserve">For a patient with</w:t>
      </w:r>
      <w:r>
        <w:t xml:space="preserve"> </w:t>
      </w:r>
      <m:oMath>
        <m:r>
          <m:t>M</m:t>
        </m:r>
      </m:oMath>
      <w:r>
        <w:t xml:space="preserve"> </w:t>
      </w:r>
      <w:r>
        <w:t xml:space="preserve">mammogram views and</w:t>
      </w:r>
      <w:r>
        <w:t xml:space="preserve"> </w:t>
      </w:r>
      <m:oMath>
        <m:r>
          <m:t>U</m:t>
        </m:r>
      </m:oMath>
      <w:r>
        <w:t xml:space="preserve"> </w:t>
      </w:r>
      <w:r>
        <w:t xml:space="preserve">ultrasound views, input features are projected into a shared hidden dimension</w:t>
      </w:r>
      <w:r>
        <w:t xml:space="preserve"> </w:t>
      </w:r>
      <m:oMath>
        <m:r>
          <m:t>d</m:t>
        </m:r>
        <m:r>
          <m:rPr>
            <m:sty m:val="p"/>
          </m:rPr>
          <m:t>=</m:t>
        </m:r>
        <m:r>
          <m:t>256</m:t>
        </m:r>
      </m:oMath>
      <w:r>
        <w:t xml:space="preserve">:</w:t>
      </w:r>
    </w:p>
    <w:p>
      <w:pPr>
        <w:pStyle w:val="BodyText"/>
      </w:pPr>
      <m:oMathPara>
        <m:oMathParaPr>
          <m:jc m:val="center"/>
        </m:oMathParaPr>
        <m:oMath>
          <m:sSubSup>
            <m:e>
              <m:r>
                <m:rPr>
                  <m:sty m:val="b"/>
                </m:rPr>
                <m:t>h</m:t>
              </m:r>
            </m:e>
            <m:sub>
              <m:r>
                <m:t>i</m:t>
              </m:r>
            </m:sub>
            <m:sup>
              <m:r>
                <m:rPr>
                  <m:sty m:val="p"/>
                </m:rPr>
                <m:t>(</m:t>
              </m:r>
              <m:r>
                <m:t>0</m:t>
              </m:r>
              <m:r>
                <m:rPr>
                  <m:sty m:val="p"/>
                </m:rPr>
                <m:t>)</m:t>
              </m:r>
            </m:sup>
          </m:sSubSup>
          <m:r>
            <m:rPr>
              <m:sty m:val="p"/>
            </m:rPr>
            <m:t>=</m:t>
          </m:r>
          <m:sSub>
            <m:e>
              <m:r>
                <m:rPr>
                  <m:sty m:val="b"/>
                </m:rPr>
                <m:t>W</m:t>
              </m:r>
            </m:e>
            <m:sub>
              <m:r>
                <m:rPr>
                  <m:nor/>
                  <m:sty m:val="p"/>
                </m:rPr>
                <m:t>proj</m:t>
              </m:r>
            </m:sub>
          </m:sSub>
          <m:sSub>
            <m:e>
              <m:r>
                <m:rPr>
                  <m:sty m:val="b"/>
                </m:rPr>
                <m:t>f</m:t>
              </m:r>
            </m:e>
            <m:sub>
              <m:r>
                <m:t>i</m:t>
              </m:r>
            </m:sub>
          </m:sSub>
          <m:r>
            <m:rPr>
              <m:sty m:val="p"/>
            </m:rPr>
            <m:t>+</m:t>
          </m:r>
          <m:sSub>
            <m:e>
              <m:r>
                <m:rPr>
                  <m:sty m:val="b"/>
                </m:rPr>
                <m:t>e</m:t>
              </m:r>
            </m:e>
            <m:sub>
              <m:r>
                <m:rPr>
                  <m:nor/>
                  <m:sty m:val="p"/>
                </m:rPr>
                <m:t>side</m:t>
              </m:r>
              <m:r>
                <m:rPr>
                  <m:sty m:val="p"/>
                </m:rPr>
                <m:t>(</m:t>
              </m:r>
              <m:r>
                <m:t>i</m:t>
              </m:r>
              <m:r>
                <m:rPr>
                  <m:sty m:val="p"/>
                </m:rPr>
                <m:t>)</m:t>
              </m:r>
            </m:sub>
          </m:sSub>
        </m:oMath>
      </m:oMathPara>
    </w:p>
    <w:p>
      <w:pPr>
        <w:pStyle w:val="FirstParagraph"/>
      </w:pPr>
      <w:r>
        <w:t xml:space="preserve">where</w:t>
      </w:r>
      <w:r>
        <w:t xml:space="preserve"> </w:t>
      </w:r>
      <m:oMath>
        <m:sSub>
          <m:e>
            <m:r>
              <m:rPr>
                <m:sty m:val="b"/>
              </m:rPr>
              <m:t>e</m:t>
            </m:r>
          </m:e>
          <m:sub>
            <m:r>
              <m:rPr>
                <m:nor/>
                <m:sty m:val="p"/>
              </m:rPr>
              <m:t>side</m:t>
            </m:r>
            <m:r>
              <m:rPr>
                <m:sty m:val="p"/>
              </m:rPr>
              <m:t>(</m:t>
            </m:r>
            <m:r>
              <m:t>i</m:t>
            </m:r>
            <m:r>
              <m:rPr>
                <m:sty m:val="p"/>
              </m:rPr>
              <m:t>)</m:t>
            </m:r>
          </m:sub>
        </m:sSub>
        <m:r>
          <m:rPr>
            <m:sty m:val="p"/>
          </m:rPr>
          <m:t>∈</m:t>
        </m:r>
        <m:sSup>
          <m:e>
            <m:r>
              <m:rPr>
                <m:sty m:val="p"/>
                <m:scr m:val="double-struck"/>
              </m:rPr>
              <m:t>R</m:t>
            </m:r>
          </m:e>
          <m:sup>
            <m:r>
              <m:t>256</m:t>
            </m:r>
          </m:sup>
        </m:sSup>
      </m:oMath>
      <w:r>
        <w:t xml:space="preserve"> </w:t>
      </w:r>
      <w:r>
        <w:t xml:space="preserve">is a learnable anatomical side embedding representing Left (</w:t>
      </w:r>
      <w:r>
        <w:t xml:space="preserve">“</w:t>
      </w:r>
      <w:r>
        <w:t xml:space="preserve">L</w:t>
      </w:r>
      <w:r>
        <w:t xml:space="preserve">”</w:t>
      </w:r>
      <w:r>
        <w:t xml:space="preserve">), Right (</w:t>
      </w:r>
      <w:r>
        <w:t xml:space="preserve">“</w:t>
      </w:r>
      <w:r>
        <w:t xml:space="preserve">R</w:t>
      </w:r>
      <w:r>
        <w:t xml:space="preserve">”</w:t>
      </w:r>
      <w:r>
        <w:t xml:space="preserve">), Bilateral (</w:t>
      </w:r>
      <w:r>
        <w:t xml:space="preserve">“</w:t>
      </w:r>
      <w:r>
        <w:t xml:space="preserve">BIL</w:t>
      </w:r>
      <w:r>
        <w:t xml:space="preserve">”</w:t>
      </w:r>
      <w:r>
        <w:t xml:space="preserve">), or Unknown (</w:t>
      </w:r>
      <w:r>
        <w:t xml:space="preserve">“</w:t>
      </w:r>
      <w:r>
        <w:t xml:space="preserve">UNK</w:t>
      </w:r>
      <w:r>
        <w:t xml:space="preserve">”</w:t>
      </w:r>
      <w:r>
        <w:t xml:space="preserve">).</w:t>
      </w:r>
    </w:p>
    <w:p>
      <w:pPr>
        <w:pStyle w:val="BodyText"/>
      </w:pPr>
      <w:r>
        <w:t xml:space="preserve">A 2-layer Graph Attention Network with 4 attention heads [9] processes inter-view relationships:</w:t>
      </w:r>
    </w:p>
    <w:p>
      <w:pPr>
        <w:pStyle w:val="BodyText"/>
      </w:pPr>
      <m:oMathPara>
        <m:oMathParaPr>
          <m:jc m:val="center"/>
        </m:oMathParaPr>
        <m:oMath>
          <m:sSub>
            <m:e>
              <m:r>
                <m:t>α</m:t>
              </m:r>
            </m:e>
            <m:sub>
              <m:r>
                <m:t>i</m:t>
              </m:r>
              <m:r>
                <m:t>j</m:t>
              </m:r>
            </m:sub>
          </m:sSub>
          <m:r>
            <m:rPr>
              <m:sty m:val="p"/>
            </m:rPr>
            <m:t>=</m:t>
          </m:r>
          <m:f>
            <m:fPr>
              <m:type m:val="bar"/>
            </m:fPr>
            <m:num>
              <m:r>
                <m:rPr>
                  <m:nor/>
                  <m:sty m:val="p"/>
                </m:rPr>
                <m:t>exp</m:t>
              </m:r>
              <m:d>
                <m:dPr>
                  <m:begChr m:val="("/>
                  <m:endChr m:val=")"/>
                  <m:grow/>
                </m:dPr>
                <m:e>
                  <m:r>
                    <m:rPr>
                      <m:nor/>
                      <m:sty m:val="p"/>
                    </m:rPr>
                    <m:t>LeakyReLU</m:t>
                  </m:r>
                  <m:d>
                    <m:dPr>
                      <m:begChr m:val="("/>
                      <m:endChr m:val=")"/>
                      <m:grow/>
                    </m:dPr>
                    <m:e>
                      <m:sSup>
                        <m:e>
                          <m:r>
                            <m:rPr>
                              <m:sty m:val="b"/>
                            </m:rPr>
                            <m:t>a</m:t>
                          </m:r>
                        </m:e>
                        <m:sup>
                          <m:r>
                            <m:rPr>
                              <m:sty m:val="p"/>
                            </m:rPr>
                            <m:t>⊤</m:t>
                          </m:r>
                        </m:sup>
                      </m:sSup>
                      <m:r>
                        <m:rPr>
                          <m:sty m:val="p"/>
                        </m:rPr>
                        <m:t>[</m:t>
                      </m:r>
                      <m:r>
                        <m:rPr>
                          <m:sty m:val="b"/>
                        </m:rPr>
                        <m:t>W</m:t>
                      </m:r>
                      <m:sSub>
                        <m:e>
                          <m:r>
                            <m:rPr>
                              <m:sty m:val="b"/>
                            </m:rPr>
                            <m:t>h</m:t>
                          </m:r>
                        </m:e>
                        <m:sub>
                          <m:r>
                            <m:t>i</m:t>
                          </m:r>
                        </m:sub>
                      </m:sSub>
                      <m:r>
                        <m:rPr>
                          <m:sty m:val="p"/>
                        </m:rPr>
                        <m:t>∥</m:t>
                      </m:r>
                      <m:r>
                        <m:rPr>
                          <m:sty m:val="b"/>
                        </m:rPr>
                        <m:t>W</m:t>
                      </m:r>
                      <m:sSub>
                        <m:e>
                          <m:r>
                            <m:rPr>
                              <m:sty m:val="b"/>
                            </m:rPr>
                            <m:t>h</m:t>
                          </m:r>
                        </m:e>
                        <m:sub>
                          <m:r>
                            <m:t>j</m:t>
                          </m:r>
                        </m:sub>
                      </m:sSub>
                      <m:r>
                        <m:rPr>
                          <m:sty m:val="p"/>
                        </m:rPr>
                        <m:t>∥</m:t>
                      </m:r>
                      <m:sSub>
                        <m:e>
                          <m:r>
                            <m:rPr>
                              <m:sty m:val="b"/>
                            </m:rPr>
                            <m:t>e</m:t>
                          </m:r>
                        </m:e>
                        <m:sub>
                          <m:r>
                            <m:rPr>
                              <m:nor/>
                              <m:sty m:val="p"/>
                            </m:rPr>
                            <m:t>rel</m:t>
                          </m:r>
                          <m:r>
                            <m:rPr>
                              <m:sty m:val="p"/>
                            </m:rPr>
                            <m:t>(</m:t>
                          </m:r>
                          <m:r>
                            <m:t>i</m:t>
                          </m:r>
                          <m:r>
                            <m:rPr>
                              <m:sty m:val="p"/>
                            </m:rPr>
                            <m:t>,</m:t>
                          </m:r>
                          <m:r>
                            <m:t>j</m:t>
                          </m:r>
                          <m:r>
                            <m:rPr>
                              <m:sty m:val="p"/>
                            </m:rPr>
                            <m:t>)</m:t>
                          </m:r>
                        </m:sub>
                      </m:sSub>
                      <m:r>
                        <m:rPr>
                          <m:sty m:val="p"/>
                        </m:rPr>
                        <m:t>]</m:t>
                      </m:r>
                    </m:e>
                  </m:d>
                </m:e>
              </m:d>
            </m:num>
            <m:den>
              <m:nary>
                <m:naryPr>
                  <m:chr m:val="∑"/>
                  <m:limLoc m:val="undOvr"/>
                  <m:subHide m:val="0"/>
                  <m:supHide m:val="1"/>
                </m:naryPr>
                <m:sub>
                  <m:r>
                    <m:t>k</m:t>
                  </m:r>
                  <m:r>
                    <m:rPr>
                      <m:sty m:val="p"/>
                    </m:rPr>
                    <m:t>∈</m:t>
                  </m:r>
                  <m:sSub>
                    <m:e>
                      <m:r>
                        <m:rPr>
                          <m:sty m:val="p"/>
                          <m:scr m:val="script"/>
                        </m:rPr>
                        <m:t>N</m:t>
                      </m:r>
                    </m:e>
                    <m:sub>
                      <m:r>
                        <m:t>i</m:t>
                      </m:r>
                    </m:sub>
                  </m:sSub>
                </m:sub>
                <m:sup>
                  <m:r>
                    <m:t>​</m:t>
                  </m:r>
                </m:sup>
                <m:e>
                  <m:r>
                    <m:rPr>
                      <m:nor/>
                      <m:sty m:val="p"/>
                    </m:rPr>
                    <m:t>exp</m:t>
                  </m:r>
                </m:e>
              </m:nary>
              <m:d>
                <m:dPr>
                  <m:begChr m:val="("/>
                  <m:endChr m:val=")"/>
                  <m:grow/>
                </m:dPr>
                <m:e>
                  <m:r>
                    <m:rPr>
                      <m:nor/>
                      <m:sty m:val="p"/>
                    </m:rPr>
                    <m:t>LeakyReLU</m:t>
                  </m:r>
                  <m:d>
                    <m:dPr>
                      <m:begChr m:val="("/>
                      <m:endChr m:val=")"/>
                      <m:grow/>
                    </m:dPr>
                    <m:e>
                      <m:sSup>
                        <m:e>
                          <m:r>
                            <m:rPr>
                              <m:sty m:val="b"/>
                            </m:rPr>
                            <m:t>a</m:t>
                          </m:r>
                        </m:e>
                        <m:sup>
                          <m:r>
                            <m:rPr>
                              <m:sty m:val="p"/>
                            </m:rPr>
                            <m:t>⊤</m:t>
                          </m:r>
                        </m:sup>
                      </m:sSup>
                      <m:r>
                        <m:rPr>
                          <m:sty m:val="p"/>
                        </m:rPr>
                        <m:t>[</m:t>
                      </m:r>
                      <m:r>
                        <m:rPr>
                          <m:sty m:val="b"/>
                        </m:rPr>
                        <m:t>W</m:t>
                      </m:r>
                      <m:sSub>
                        <m:e>
                          <m:r>
                            <m:rPr>
                              <m:sty m:val="b"/>
                            </m:rPr>
                            <m:t>h</m:t>
                          </m:r>
                        </m:e>
                        <m:sub>
                          <m:r>
                            <m:t>i</m:t>
                          </m:r>
                        </m:sub>
                      </m:sSub>
                      <m:r>
                        <m:rPr>
                          <m:sty m:val="p"/>
                        </m:rPr>
                        <m:t>∥</m:t>
                      </m:r>
                      <m:r>
                        <m:rPr>
                          <m:sty m:val="b"/>
                        </m:rPr>
                        <m:t>W</m:t>
                      </m:r>
                      <m:sSub>
                        <m:e>
                          <m:r>
                            <m:rPr>
                              <m:sty m:val="b"/>
                            </m:rPr>
                            <m:t>h</m:t>
                          </m:r>
                        </m:e>
                        <m:sub>
                          <m:r>
                            <m:t>k</m:t>
                          </m:r>
                        </m:sub>
                      </m:sSub>
                      <m:r>
                        <m:rPr>
                          <m:sty m:val="p"/>
                        </m:rPr>
                        <m:t>∥</m:t>
                      </m:r>
                      <m:sSub>
                        <m:e>
                          <m:r>
                            <m:rPr>
                              <m:sty m:val="b"/>
                            </m:rPr>
                            <m:t>e</m:t>
                          </m:r>
                        </m:e>
                        <m:sub>
                          <m:r>
                            <m:rPr>
                              <m:nor/>
                              <m:sty m:val="p"/>
                            </m:rPr>
                            <m:t>rel</m:t>
                          </m:r>
                          <m:r>
                            <m:rPr>
                              <m:sty m:val="p"/>
                            </m:rPr>
                            <m:t>(</m:t>
                          </m:r>
                          <m:r>
                            <m:t>i</m:t>
                          </m:r>
                          <m:r>
                            <m:rPr>
                              <m:sty m:val="p"/>
                            </m:rPr>
                            <m:t>,</m:t>
                          </m:r>
                          <m:r>
                            <m:t>k</m:t>
                          </m:r>
                          <m:r>
                            <m:rPr>
                              <m:sty m:val="p"/>
                            </m:rPr>
                            <m:t>)</m:t>
                          </m:r>
                        </m:sub>
                      </m:sSub>
                      <m:r>
                        <m:rPr>
                          <m:sty m:val="p"/>
                        </m:rPr>
                        <m:t>]</m:t>
                      </m:r>
                    </m:e>
                  </m:d>
                </m:e>
              </m:d>
            </m:den>
          </m:f>
        </m:oMath>
      </m:oMathPara>
    </w:p>
    <w:p>
      <w:pPr>
        <w:pStyle w:val="FirstParagraph"/>
      </w:pPr>
      <m:oMathPara>
        <m:oMathParaPr>
          <m:jc m:val="center"/>
        </m:oMathParaPr>
        <m:oMath>
          <m:sSubSup>
            <m:e>
              <m:r>
                <m:rPr>
                  <m:sty m:val="b"/>
                </m:rPr>
                <m:t>h</m:t>
              </m:r>
            </m:e>
            <m:sub>
              <m:r>
                <m:t>i</m:t>
              </m:r>
            </m:sub>
            <m:sup>
              <m:r>
                <m:rPr>
                  <m:sty m:val="p"/>
                </m:rPr>
                <m:t>(</m:t>
              </m:r>
              <m:r>
                <m:t>l</m:t>
              </m:r>
              <m:r>
                <m:rPr>
                  <m:sty m:val="p"/>
                </m:rPr>
                <m:t>+</m:t>
              </m:r>
              <m:r>
                <m:t>1</m:t>
              </m:r>
              <m:r>
                <m:rPr>
                  <m:sty m:val="p"/>
                </m:rPr>
                <m:t>)</m:t>
              </m:r>
            </m:sup>
          </m:sSubSup>
          <m:r>
            <m:rPr>
              <m:sty m:val="p"/>
            </m:rPr>
            <m:t>=</m:t>
          </m:r>
          <m:r>
            <m:t>σ</m:t>
          </m:r>
          <m:d>
            <m:dPr>
              <m:begChr m:val="("/>
              <m:endChr m:val=")"/>
              <m:grow/>
            </m:dPr>
            <m:e>
              <m:nary>
                <m:naryPr>
                  <m:chr m:val="∑"/>
                  <m:limLoc m:val="undOvr"/>
                  <m:subHide m:val="0"/>
                  <m:supHide m:val="1"/>
                </m:naryPr>
                <m:sub>
                  <m:r>
                    <m:t>j</m:t>
                  </m:r>
                  <m:r>
                    <m:rPr>
                      <m:sty m:val="p"/>
                    </m:rPr>
                    <m:t>∈</m:t>
                  </m:r>
                  <m:sSub>
                    <m:e>
                      <m:r>
                        <m:rPr>
                          <m:sty m:val="p"/>
                          <m:scr m:val="script"/>
                        </m:rPr>
                        <m:t>N</m:t>
                      </m:r>
                    </m:e>
                    <m:sub>
                      <m:r>
                        <m:t>i</m:t>
                      </m:r>
                    </m:sub>
                  </m:sSub>
                </m:sub>
                <m:sup>
                  <m:r>
                    <m:t>​</m:t>
                  </m:r>
                </m:sup>
                <m:e>
                  <m:sSub>
                    <m:e>
                      <m:r>
                        <m:t>α</m:t>
                      </m:r>
                    </m:e>
                    <m:sub>
                      <m:r>
                        <m:t>i</m:t>
                      </m:r>
                      <m:r>
                        <m:t>j</m:t>
                      </m:r>
                    </m:sub>
                  </m:sSub>
                </m:e>
              </m:nary>
              <m:sSup>
                <m:e>
                  <m:r>
                    <m:rPr>
                      <m:sty m:val="b"/>
                    </m:rPr>
                    <m:t>W</m:t>
                  </m:r>
                </m:e>
                <m:sup>
                  <m:r>
                    <m:rPr>
                      <m:sty m:val="p"/>
                    </m:rPr>
                    <m:t>(</m:t>
                  </m:r>
                  <m:r>
                    <m:t>l</m:t>
                  </m:r>
                  <m:r>
                    <m:rPr>
                      <m:sty m:val="p"/>
                    </m:rPr>
                    <m:t>)</m:t>
                  </m:r>
                </m:sup>
              </m:sSup>
              <m:sSubSup>
                <m:e>
                  <m:r>
                    <m:rPr>
                      <m:sty m:val="b"/>
                    </m:rPr>
                    <m:t>h</m:t>
                  </m:r>
                </m:e>
                <m:sub>
                  <m:r>
                    <m:t>j</m:t>
                  </m:r>
                </m:sub>
                <m:sup>
                  <m:r>
                    <m:rPr>
                      <m:sty m:val="p"/>
                    </m:rPr>
                    <m:t>(</m:t>
                  </m:r>
                  <m:r>
                    <m:t>l</m:t>
                  </m:r>
                  <m:r>
                    <m:rPr>
                      <m:sty m:val="p"/>
                    </m:rPr>
                    <m:t>)</m:t>
                  </m:r>
                </m:sup>
              </m:sSubSup>
            </m:e>
          </m:d>
        </m:oMath>
      </m:oMathPara>
    </w:p>
    <w:p>
      <w:pPr>
        <w:pStyle w:val="FirstParagraph"/>
      </w:pPr>
      <w:r>
        <w:t xml:space="preserve">This enables the network to exchange contextual information across views while explicitly incorporating ipsilateral alignment.</w:t>
      </w:r>
    </w:p>
    <w:bookmarkEnd w:id="36"/>
    <w:bookmarkStart w:id="37" w:name="multimodal-cross-attention-transformer"/>
    <w:p>
      <w:pPr>
        <w:pStyle w:val="Heading3"/>
      </w:pPr>
      <w:r>
        <w:t xml:space="preserve">4.3 Multimodal Cross-Attention Transformer</w:t>
      </w:r>
    </w:p>
    <w:p>
      <w:pPr>
        <w:pStyle w:val="FirstParagraph"/>
      </w:pPr>
      <w:r>
        <w:t xml:space="preserve">The refined view representations are passed through a 2-layer Cross-Attention Transformer (8 attention heads, feedforward dimension</w:t>
      </w:r>
      <w:r>
        <w:t xml:space="preserve"> </w:t>
      </w:r>
      <m:oMath>
        <m:sSub>
          <m:e>
            <m:r>
              <m:t>d</m:t>
            </m:r>
          </m:e>
          <m:sub>
            <m:r>
              <m:t>f</m:t>
            </m:r>
            <m:r>
              <m:t>f</m:t>
            </m:r>
          </m:sub>
        </m:sSub>
        <m:r>
          <m:rPr>
            <m:sty m:val="p"/>
          </m:rPr>
          <m:t>=</m:t>
        </m:r>
        <m:r>
          <m:t>1024</m:t>
        </m:r>
      </m:oMath>
      <w:r>
        <w:t xml:space="preserve">, dropout rate</w:t>
      </w:r>
      <w:r>
        <w:t xml:space="preserve"> </w:t>
      </w:r>
      <m:oMath>
        <m:r>
          <m:t>0.30</m:t>
        </m:r>
      </m:oMath>
      <w:r>
        <w:t xml:space="preserve">) [17]. Dynamic padding masks</w:t>
      </w:r>
      <w:r>
        <w:t xml:space="preserve"> </w:t>
      </w:r>
      <m:oMath>
        <m:sSub>
          <m:e>
            <m:r>
              <m:rPr>
                <m:sty m:val="b"/>
              </m:rPr>
              <m:t>M</m:t>
            </m:r>
          </m:e>
          <m:sub>
            <m:r>
              <m:rPr>
                <m:nor/>
                <m:sty m:val="p"/>
              </m:rPr>
              <m:t>MG</m:t>
            </m:r>
          </m:sub>
        </m:sSub>
      </m:oMath>
      <w:r>
        <w:t xml:space="preserve"> </w:t>
      </w:r>
      <w:r>
        <w:t xml:space="preserve">and</w:t>
      </w:r>
      <w:r>
        <w:t xml:space="preserve"> </w:t>
      </w:r>
      <m:oMath>
        <m:sSub>
          <m:e>
            <m:r>
              <m:rPr>
                <m:sty m:val="b"/>
              </m:rPr>
              <m:t>M</m:t>
            </m:r>
          </m:e>
          <m:sub>
            <m:r>
              <m:rPr>
                <m:nor/>
                <m:sty m:val="p"/>
              </m:rPr>
              <m:t>US</m:t>
            </m:r>
          </m:sub>
        </m:sSub>
      </m:oMath>
      <w:r>
        <w:t xml:space="preserve"> </w:t>
      </w:r>
      <w:r>
        <w:t xml:space="preserve">handle variable numbers of views across patients, ensuring that padded positions do not contribute to attention softmax distributions. Patient-level pooling yields a unified 256-dimensional multimodal embedding vector</w:t>
      </w:r>
      <w:r>
        <w:t xml:space="preserve"> </w:t>
      </w:r>
      <m:oMath>
        <m:sSub>
          <m:e>
            <m:r>
              <m:rPr>
                <m:sty m:val="b"/>
              </m:rPr>
              <m:t>z</m:t>
            </m:r>
          </m:e>
          <m:sub>
            <m:r>
              <m:rPr>
                <m:nor/>
                <m:sty m:val="p"/>
              </m:rPr>
              <m:t>patient</m:t>
            </m:r>
          </m:sub>
        </m:sSub>
      </m:oMath>
      <w:r>
        <w:t xml:space="preserve">.</w:t>
      </w:r>
    </w:p>
    <w:bookmarkEnd w:id="37"/>
    <w:bookmarkStart w:id="38" w:name="class-balanced-focal-loss-formulation"/>
    <w:p>
      <w:pPr>
        <w:pStyle w:val="Heading3"/>
      </w:pPr>
      <w:r>
        <w:t xml:space="preserve">4.4 Class-Balanced Focal Loss Formulation</w:t>
      </w:r>
    </w:p>
    <w:p>
      <w:pPr>
        <w:pStyle w:val="FirstParagraph"/>
      </w:pPr>
      <w:r>
        <w:t xml:space="preserve">To counteract the</w:t>
      </w:r>
      <w:r>
        <w:t xml:space="preserve"> </w:t>
      </w:r>
      <m:oMath>
        <m:r>
          <m:t>5.11</m:t>
        </m:r>
        <m:r>
          <m:rPr>
            <m:sty m:val="p"/>
          </m:rPr>
          <m:t>:</m:t>
        </m:r>
        <m:r>
          <m:t>1</m:t>
        </m:r>
      </m:oMath>
      <w:r>
        <w:t xml:space="preserve"> </w:t>
      </w:r>
      <w:r>
        <w:t xml:space="preserve">class imbalance without destabilizing gradients, we implemented Class-Balanced Focal Loss [11, 12]:</w:t>
      </w:r>
    </w:p>
    <w:p>
      <w:pPr>
        <w:pStyle w:val="BodyText"/>
      </w:pPr>
      <m:oMathPara>
        <m:oMathParaPr>
          <m:jc m:val="center"/>
        </m:oMathParaPr>
        <m:oMath>
          <m:r>
            <m:rPr>
              <m:nor/>
              <m:sty m:val="p"/>
            </m:rPr>
            <m:t>FL</m:t>
          </m:r>
          <m:r>
            <m:rPr>
              <m:sty m:val="p"/>
            </m:rPr>
            <m:t>(</m:t>
          </m:r>
          <m:sSub>
            <m:e>
              <m:r>
                <m:t>p</m:t>
              </m:r>
            </m:e>
            <m:sub>
              <m:r>
                <m:t>t</m:t>
              </m:r>
            </m:sub>
          </m:sSub>
          <m:r>
            <m:rPr>
              <m:sty m:val="p"/>
            </m:rPr>
            <m:t>)</m:t>
          </m:r>
          <m:r>
            <m:rPr>
              <m:sty m:val="p"/>
            </m:rPr>
            <m:t>=</m:t>
          </m:r>
          <m:r>
            <m:rPr>
              <m:sty m:val="p"/>
            </m:rPr>
            <m:t>−</m:t>
          </m:r>
          <m:sSub>
            <m:e>
              <m:r>
                <m:t>α</m:t>
              </m:r>
            </m:e>
            <m:sub>
              <m:r>
                <m:t>t</m:t>
              </m:r>
            </m:sub>
          </m:sSub>
          <m:r>
            <m:rPr>
              <m:sty m:val="p"/>
            </m:rPr>
            <m:t>(</m:t>
          </m:r>
          <m:r>
            <m:t>1</m:t>
          </m:r>
          <m:r>
            <m:rPr>
              <m:sty m:val="p"/>
            </m:rPr>
            <m:t>−</m:t>
          </m:r>
          <m:sSub>
            <m:e>
              <m:r>
                <m:t>p</m:t>
              </m:r>
            </m:e>
            <m:sub>
              <m:r>
                <m:t>t</m:t>
              </m:r>
            </m:sub>
          </m:sSub>
          <m:sSup>
            <m:e>
              <m:r>
                <m:rPr>
                  <m:sty m:val="p"/>
                </m:rPr>
                <m:t>)</m:t>
              </m:r>
            </m:e>
            <m:sup>
              <m:r>
                <m:t>γ</m:t>
              </m:r>
            </m:sup>
          </m:sSup>
          <m:r>
            <m:rPr>
              <m:nor/>
              <m:sty m:val="p"/>
            </m:rPr>
            <m:t>log</m:t>
          </m:r>
          <m:r>
            <m:rPr>
              <m:sty m:val="p"/>
            </m:rPr>
            <m:t>(</m:t>
          </m:r>
          <m:sSub>
            <m:e>
              <m:r>
                <m:t>p</m:t>
              </m:r>
            </m:e>
            <m:sub>
              <m:r>
                <m:t>t</m:t>
              </m:r>
            </m:sub>
          </m:sSub>
          <m:r>
            <m:rPr>
              <m:sty m:val="p"/>
            </m:rPr>
            <m:t>)</m:t>
          </m:r>
        </m:oMath>
      </m:oMathPara>
    </w:p>
    <w:p>
      <w:pPr>
        <w:pStyle w:val="FirstParagraph"/>
      </w:pPr>
      <w:r>
        <w:t xml:space="preserve">where</w:t>
      </w:r>
      <w:r>
        <w:t xml:space="preserve"> </w:t>
      </w:r>
      <m:oMath>
        <m:sSub>
          <m:e>
            <m:r>
              <m:t>p</m:t>
            </m:r>
          </m:e>
          <m:sub>
            <m:r>
              <m:t>t</m:t>
            </m:r>
          </m:sub>
        </m:sSub>
      </m:oMath>
      <w:r>
        <w:t xml:space="preserve"> </w:t>
      </w:r>
      <w:r>
        <w:t xml:space="preserve">is the model’s estimated probability for the true class,</w:t>
      </w:r>
      <w:r>
        <w:t xml:space="preserve"> </w:t>
      </w:r>
      <m:oMath>
        <m:r>
          <m:t>γ</m:t>
        </m:r>
        <m:r>
          <m:rPr>
            <m:sty m:val="p"/>
          </m:rPr>
          <m:t>=</m:t>
        </m:r>
        <m:r>
          <m:t>1.5</m:t>
        </m:r>
      </m:oMath>
      <w:r>
        <w:t xml:space="preserve"> </w:t>
      </w:r>
      <w:r>
        <w:t xml:space="preserve">is the focusing exponent, and class weights are set to the inverse class frequencies normalized to the majority class:</w:t>
      </w:r>
      <w:r>
        <w:t xml:space="preserve"> </w:t>
      </w:r>
      <m:oMath>
        <m:r>
          <m:t>α</m:t>
        </m:r>
        <m:r>
          <m:rPr>
            <m:sty m:val="p"/>
          </m:rPr>
          <m:t>=</m:t>
        </m:r>
        <m:r>
          <m:rPr>
            <m:sty m:val="p"/>
          </m:rPr>
          <m:t>[</m:t>
        </m:r>
        <m:r>
          <m:t>1.0000</m:t>
        </m:r>
        <m:r>
          <m:rPr>
            <m:sty m:val="p"/>
          </m:rPr>
          <m:t>,</m:t>
        </m:r>
        <m:r>
          <m:t>5.1111</m:t>
        </m:r>
        <m:r>
          <m:rPr>
            <m:sty m:val="p"/>
          </m:rPr>
          <m:t>]</m:t>
        </m:r>
      </m:oMath>
      <w:r>
        <w:t xml:space="preserve">. The loss is normalized across each batch by dividing by the sum of sample weights:</w:t>
      </w:r>
    </w:p>
    <w:p>
      <w:pPr>
        <w:pStyle w:val="BodyText"/>
      </w:pPr>
      <m:oMathPara>
        <m:oMathParaPr>
          <m:jc m:val="center"/>
        </m:oMathParaPr>
        <m:oMath>
          <m:r>
            <m:rPr>
              <m:sty m:val="p"/>
              <m:scr m:val="script"/>
            </m:rPr>
            <m:t>L</m:t>
          </m:r>
          <m:r>
            <m:rPr>
              <m:sty m:val="p"/>
            </m:rPr>
            <m:t>=</m:t>
          </m:r>
          <m:f>
            <m:fPr>
              <m:type m:val="bar"/>
            </m:fPr>
            <m:num>
              <m:nary>
                <m:naryPr>
                  <m:chr m:val="∑"/>
                  <m:limLoc m:val="undOvr"/>
                  <m:subHide m:val="0"/>
                  <m:supHide m:val="0"/>
                </m:naryPr>
                <m:sub>
                  <m:r>
                    <m:t>i</m:t>
                  </m:r>
                  <m:r>
                    <m:rPr>
                      <m:sty m:val="p"/>
                    </m:rPr>
                    <m:t>=</m:t>
                  </m:r>
                  <m:r>
                    <m:t>1</m:t>
                  </m:r>
                </m:sub>
                <m:sup>
                  <m:r>
                    <m:t>B</m:t>
                  </m:r>
                </m:sup>
                <m:e>
                  <m:r>
                    <m:rPr>
                      <m:nor/>
                      <m:sty m:val="p"/>
                    </m:rPr>
                    <m:t>FL</m:t>
                  </m:r>
                </m:e>
              </m:nary>
              <m:r>
                <m:rPr>
                  <m:sty m:val="p"/>
                </m:rPr>
                <m:t>(</m:t>
              </m:r>
              <m:sSub>
                <m:e>
                  <m:r>
                    <m:t>p</m:t>
                  </m:r>
                </m:e>
                <m:sub>
                  <m:r>
                    <m:t>t</m:t>
                  </m:r>
                  <m:r>
                    <m:rPr>
                      <m:sty m:val="p"/>
                    </m:rPr>
                    <m:t>,</m:t>
                  </m:r>
                  <m:r>
                    <m:t>i</m:t>
                  </m:r>
                </m:sub>
              </m:sSub>
              <m:r>
                <m:rPr>
                  <m:sty m:val="p"/>
                </m:rPr>
                <m:t>)</m:t>
              </m:r>
            </m:num>
            <m:den>
              <m:nary>
                <m:naryPr>
                  <m:chr m:val="∑"/>
                  <m:limLoc m:val="undOvr"/>
                  <m:subHide m:val="0"/>
                  <m:supHide m:val="0"/>
                </m:naryPr>
                <m:sub>
                  <m:r>
                    <m:t>i</m:t>
                  </m:r>
                  <m:r>
                    <m:rPr>
                      <m:sty m:val="p"/>
                    </m:rPr>
                    <m:t>=</m:t>
                  </m:r>
                  <m:r>
                    <m:t>1</m:t>
                  </m:r>
                </m:sub>
                <m:sup>
                  <m:r>
                    <m:t>B</m:t>
                  </m:r>
                </m:sup>
                <m:e>
                  <m:sSub>
                    <m:e>
                      <m:r>
                        <m:t>α</m:t>
                      </m:r>
                    </m:e>
                    <m:sub>
                      <m:sSub>
                        <m:e>
                          <m:r>
                            <m:t>y</m:t>
                          </m:r>
                        </m:e>
                        <m:sub>
                          <m:r>
                            <m:t>i</m:t>
                          </m:r>
                        </m:sub>
                      </m:sSub>
                    </m:sub>
                  </m:sSub>
                </m:e>
              </m:nary>
            </m:den>
          </m:f>
        </m:oMath>
      </m:oMathPara>
    </w:p>
    <w:p>
      <w:r>
        <w:pict>
          <v:rect style="width:0;height:1.5pt" o:hralign="center" o:hrstd="t" o:hr="t"/>
        </w:pict>
      </w:r>
    </w:p>
    <w:bookmarkEnd w:id="38"/>
    <w:bookmarkEnd w:id="39"/>
    <w:bookmarkStart w:id="43" w:name="Xce087d34662b17b8f8d5a2222991e3955adb3f5"/>
    <w:p>
      <w:pPr>
        <w:pStyle w:val="Heading2"/>
      </w:pPr>
      <w:r>
        <w:t xml:space="preserve">5. Experimental Setup &amp; Predeclared Evaluation Protocol</w:t>
      </w:r>
    </w:p>
    <w:bookmarkStart w:id="40" w:name="optimization-hyperparameters"/>
    <w:p>
      <w:pPr>
        <w:pStyle w:val="Heading3"/>
      </w:pPr>
      <w:r>
        <w:t xml:space="preserve">5.1 Optimization Hyperparameters</w:t>
      </w:r>
    </w:p>
    <w:p>
      <w:pPr>
        <w:numPr>
          <w:ilvl w:val="0"/>
          <w:numId w:val="1001"/>
        </w:numPr>
        <w:pStyle w:val="Compact"/>
      </w:pPr>
      <w:r>
        <w:rPr>
          <w:bCs/>
          <w:b/>
        </w:rPr>
        <w:t xml:space="preserve">Optimizer:</w:t>
      </w:r>
      <w:r>
        <w:t xml:space="preserve"> </w:t>
      </w:r>
      <w:r>
        <w:t xml:space="preserve">AdamW (</w:t>
      </w:r>
      <m:oMath>
        <m:sSub>
          <m:e>
            <m:r>
              <m:t>β</m:t>
            </m:r>
          </m:e>
          <m:sub>
            <m:r>
              <m:t>1</m:t>
            </m:r>
          </m:sub>
        </m:sSub>
        <m:r>
          <m:rPr>
            <m:sty m:val="p"/>
          </m:rPr>
          <m:t>=</m:t>
        </m:r>
        <m:r>
          <m:t>0.9</m:t>
        </m:r>
        <m:r>
          <m:rPr>
            <m:sty m:val="p"/>
          </m:rPr>
          <m:t>,</m:t>
        </m:r>
        <m:sSub>
          <m:e>
            <m:r>
              <m:t>β</m:t>
            </m:r>
          </m:e>
          <m:sub>
            <m:r>
              <m:t>2</m:t>
            </m:r>
          </m:sub>
        </m:sSub>
        <m:r>
          <m:rPr>
            <m:sty m:val="p"/>
          </m:rPr>
          <m:t>=</m:t>
        </m:r>
        <m:r>
          <m:t>0.999</m:t>
        </m:r>
      </m:oMath>
      <w:r>
        <w:t xml:space="preserve">, weight decay</w:t>
      </w:r>
      <w:r>
        <w:t xml:space="preserve"> </w:t>
      </w:r>
      <m:oMath>
        <m:r>
          <m:t>0.01</m:t>
        </m:r>
      </m:oMath>
      <w:r>
        <w:t xml:space="preserve">) [18].</w:t>
      </w:r>
    </w:p>
    <w:p>
      <w:pPr>
        <w:numPr>
          <w:ilvl w:val="0"/>
          <w:numId w:val="1001"/>
        </w:numPr>
        <w:pStyle w:val="Compact"/>
      </w:pPr>
      <w:r>
        <w:rPr>
          <w:bCs/>
          <w:b/>
        </w:rPr>
        <w:t xml:space="preserve">Learning Rate Schedule:</w:t>
      </w:r>
      <w:r>
        <w:t xml:space="preserve"> </w:t>
      </w:r>
      <w:r>
        <w:t xml:space="preserve">CosineAnnealingLR (</w:t>
      </w:r>
      <m:oMath>
        <m:sSub>
          <m:e>
            <m:r>
              <m:t>T</m:t>
            </m:r>
          </m:e>
          <m:sub>
            <m:r>
              <m:rPr>
                <m:nor/>
                <m:sty m:val="p"/>
              </m:rPr>
              <m:t>max</m:t>
            </m:r>
          </m:sub>
        </m:sSub>
        <m:r>
          <m:rPr>
            <m:sty m:val="p"/>
          </m:rPr>
          <m:t>=</m:t>
        </m:r>
        <m:r>
          <m:t>20</m:t>
        </m:r>
        <m:r>
          <m:rPr>
            <m:sty m:val="p"/>
          </m:rPr>
          <m:t>,</m:t>
        </m:r>
        <m:sSub>
          <m:e>
            <m:r>
              <m:t>η</m:t>
            </m:r>
          </m:e>
          <m:sub>
            <m:r>
              <m:rPr>
                <m:nor/>
                <m:sty m:val="p"/>
              </m:rPr>
              <m:t>min</m:t>
            </m:r>
          </m:sub>
        </m:sSub>
        <m:r>
          <m:rPr>
            <m:sty m:val="p"/>
          </m:rPr>
          <m:t>=</m:t>
        </m:r>
        <m:sSup>
          <m:e>
            <m:r>
              <m:t>10</m:t>
            </m:r>
          </m:e>
          <m:sup>
            <m:r>
              <m:rPr>
                <m:sty m:val="p"/>
              </m:rPr>
              <m:t>−</m:t>
            </m:r>
            <m:r>
              <m:t>6</m:t>
            </m:r>
          </m:sup>
        </m:sSup>
      </m:oMath>
      <w:r>
        <w:t xml:space="preserve">).</w:t>
      </w:r>
    </w:p>
    <w:p>
      <w:pPr>
        <w:numPr>
          <w:ilvl w:val="0"/>
          <w:numId w:val="1001"/>
        </w:numPr>
        <w:pStyle w:val="Compact"/>
      </w:pPr>
      <w:r>
        <w:rPr>
          <w:bCs/>
          <w:b/>
        </w:rPr>
        <w:t xml:space="preserve">Batch Management:</w:t>
      </w:r>
      <w:r>
        <w:t xml:space="preserve"> </w:t>
      </w:r>
      <w:r>
        <w:t xml:space="preserve">Physical batch size 8 with 2 gradient accumulation steps (effective batch size 16).</w:t>
      </w:r>
    </w:p>
    <w:p>
      <w:pPr>
        <w:numPr>
          <w:ilvl w:val="0"/>
          <w:numId w:val="1001"/>
        </w:numPr>
        <w:pStyle w:val="Compact"/>
      </w:pPr>
      <w:r>
        <w:rPr>
          <w:bCs/>
          <w:b/>
        </w:rPr>
        <w:t xml:space="preserve">Mixed Precision:</w:t>
      </w:r>
      <w:r>
        <w:t xml:space="preserve"> </w:t>
      </w:r>
      <w:r>
        <w:t xml:space="preserve">PyTorch Automatic Mixed Precision (AMP) autocasting on CUDA.</w:t>
      </w:r>
    </w:p>
    <w:p>
      <w:pPr>
        <w:numPr>
          <w:ilvl w:val="0"/>
          <w:numId w:val="1001"/>
        </w:numPr>
        <w:pStyle w:val="Compact"/>
      </w:pPr>
      <w:r>
        <w:rPr>
          <w:bCs/>
          <w:b/>
        </w:rPr>
        <w:t xml:space="preserve">Hardware Platform:</w:t>
      </w:r>
      <w:r>
        <w:t xml:space="preserve"> </w:t>
      </w:r>
      <w:r>
        <w:t xml:space="preserve">NVIDIA GeForce MX550 (2048 MB VRAM). Peak memory consumption was strictly monitored and remained invariant at</w:t>
      </w:r>
      <w:r>
        <w:t xml:space="preserve"> </w:t>
      </w:r>
      <w:r>
        <w:rPr>
          <w:bCs/>
          <w:b/>
        </w:rPr>
        <w:t xml:space="preserve">105.52 MB</w:t>
      </w:r>
      <w:r>
        <w:t xml:space="preserve"> </w:t>
      </w:r>
      <w:r>
        <w:t xml:space="preserve">(94.8% VRAM headroom).</w:t>
      </w:r>
    </w:p>
    <w:bookmarkEnd w:id="40"/>
    <w:bookmarkStart w:id="41" w:name="predeclared-model-selection-rule"/>
    <w:p>
      <w:pPr>
        <w:pStyle w:val="Heading3"/>
      </w:pPr>
      <w:r>
        <w:t xml:space="preserve">5.2 Predeclared Model Selection Rule</w:t>
      </w:r>
    </w:p>
    <w:p>
      <w:pPr>
        <w:pStyle w:val="FirstParagraph"/>
      </w:pPr>
      <w:r>
        <w:t xml:space="preserve">Model checkpoints were selected during training using a predeclared composite validation score</w:t>
      </w:r>
      <w:r>
        <w:t xml:space="preserve"> </w:t>
      </w:r>
      <m:oMath>
        <m:r>
          <m:t>S</m:t>
        </m:r>
      </m:oMath>
      <w:r>
        <w:t xml:space="preserve"> </w:t>
      </w:r>
      <w:r>
        <w:t xml:space="preserve">combining discrimination and classification balance:</w:t>
      </w:r>
    </w:p>
    <w:p>
      <w:pPr>
        <w:pStyle w:val="BodyText"/>
      </w:pPr>
      <m:oMathPara>
        <m:oMathParaPr>
          <m:jc m:val="center"/>
        </m:oMathParaPr>
        <m:oMath>
          <m:r>
            <m:t>S</m:t>
          </m:r>
          <m:r>
            <m:rPr>
              <m:sty m:val="p"/>
            </m:rPr>
            <m:t>=</m:t>
          </m:r>
          <m:r>
            <m:t>0.5</m:t>
          </m:r>
          <m:r>
            <m:rPr>
              <m:sty m:val="p"/>
            </m:rPr>
            <m:t>×</m:t>
          </m:r>
          <m:r>
            <m:rPr>
              <m:nor/>
              <m:sty m:val="p"/>
            </m:rPr>
            <m:t>ROC-AUC</m:t>
          </m:r>
          <m:r>
            <m:rPr>
              <m:sty m:val="p"/>
            </m:rPr>
            <m:t>+</m:t>
          </m:r>
          <m:r>
            <m:t>0.3</m:t>
          </m:r>
          <m:r>
            <m:rPr>
              <m:sty m:val="p"/>
            </m:rPr>
            <m:t>×</m:t>
          </m:r>
          <m:r>
            <m:rPr>
              <m:nor/>
              <m:sty m:val="p"/>
            </m:rPr>
            <m:t>PR-AUC</m:t>
          </m:r>
          <m:r>
            <m:rPr>
              <m:sty m:val="p"/>
            </m:rPr>
            <m:t>+</m:t>
          </m:r>
          <m:r>
            <m:t>0.2</m:t>
          </m:r>
          <m:r>
            <m:rPr>
              <m:sty m:val="p"/>
            </m:rPr>
            <m:t>×</m:t>
          </m:r>
          <m:r>
            <m:rPr>
              <m:nor/>
              <m:sty m:val="p"/>
            </m:rPr>
            <m:t>F1</m:t>
          </m:r>
        </m:oMath>
      </m:oMathPara>
    </w:p>
    <w:p>
      <w:pPr>
        <w:pStyle w:val="FirstParagraph"/>
      </w:pPr>
      <w:r>
        <w:t xml:space="preserve">Ties were broken by lower validation loss. Early stopping was enforced with a patience of 8 epochs without composite score improvement.</w:t>
      </w:r>
    </w:p>
    <w:bookmarkEnd w:id="41"/>
    <w:bookmarkStart w:id="42" w:name="locked-test-governance"/>
    <w:p>
      <w:pPr>
        <w:pStyle w:val="Heading3"/>
      </w:pPr>
      <w:r>
        <w:t xml:space="preserve">5.3 Locked Test Governance</w:t>
      </w:r>
    </w:p>
    <w:p>
      <w:pPr>
        <w:pStyle w:val="FirstParagraph"/>
      </w:pPr>
      <w:r>
        <w:t xml:space="preserve">To preserve scientific integrity and avoid test-set over-fitting, Phase D8 was designated as the locked internal evaluation. Earlier preliminary evaluation on the held-out test cohort had occurred historically during Phase C exploratory benchmarking. Upon commencement of Phase D, the entire 47-patient test cohort was placed under strict quarantine throughout Phase D1–D7 hyperparameter exploration, ablation studies, and multi-seed stability testing. No test-set labels or predictions were accessed during Phase D development or candidate selection. During Phase D8, the quarantined test cohort was unblinded for a single locked evaluation at the canonical unadjusted threshold</w:t>
      </w:r>
      <w:r>
        <w:t xml:space="preserve"> </w:t>
      </w:r>
      <m:oMath>
        <m:r>
          <m:t>τ</m:t>
        </m:r>
        <m:r>
          <m:rPr>
            <m:sty m:val="p"/>
          </m:rPr>
          <m:t>=</m:t>
        </m:r>
        <m:r>
          <m:t>0.50</m:t>
        </m:r>
      </m:oMath>
      <w:r>
        <w:t xml:space="preserve">, without any post-hoc threshold adjustment or test-driven model selection. Because the internal test cohort has now been fully utilized, the test set must not be accessed for further tuning, and independent external multi-center validation is required for confirmatory assessment.</w:t>
      </w:r>
    </w:p>
    <w:p>
      <w:r>
        <w:pict>
          <v:rect style="width:0;height:1.5pt" o:hralign="center" o:hrstd="t" o:hr="t"/>
        </w:pict>
      </w:r>
    </w:p>
    <w:bookmarkEnd w:id="42"/>
    <w:bookmarkEnd w:id="43"/>
    <w:bookmarkStart w:id="51" w:name="X3d679a64fd8a97a1a369b5694647d6ffd0d1707"/>
    <w:p>
      <w:pPr>
        <w:pStyle w:val="Heading2"/>
      </w:pPr>
      <w:r>
        <w:t xml:space="preserve">6. Project Development Phases &amp; Ablation History</w:t>
      </w:r>
    </w:p>
    <w:bookmarkStart w:id="44" w:name="Xa6ce6dbfcdcbb8ebe2b81fdf10edcdf52585c9c"/>
    <w:p>
      <w:pPr>
        <w:pStyle w:val="Heading3"/>
      </w:pPr>
      <w:r>
        <w:t xml:space="preserve">6.1 Phase 1–5: Unimodal &amp; Initial Multimodal Baselines</w:t>
      </w:r>
    </w:p>
    <w:p>
      <w:pPr>
        <w:pStyle w:val="FirstParagraph"/>
      </w:pPr>
      <w:r>
        <w:t xml:space="preserve">In Phase 5, unimodal CNN and Transformer models were compared against initial multimodal GIT baselines on the held-out test cohort:</w:t>
      </w:r>
    </w:p>
    <w:tbl>
      <w:tblPr>
        <w:tblStyle w:val="Table"/>
        <w:tblW w:type="pct" w:w="4999.999999999998"/>
        <w:tblLook w:firstRow="1" w:lastRow="0" w:firstColumn="0" w:lastColumn="0" w:noHBand="0" w:noVBand="0" w:val="0020"/>
      </w:tblPr>
      <w:tblGrid>
        <w:gridCol w:w="510"/>
        <w:gridCol w:w="510"/>
        <w:gridCol w:w="510"/>
        <w:gridCol w:w="638"/>
        <w:gridCol w:w="638"/>
        <w:gridCol w:w="638"/>
        <w:gridCol w:w="638"/>
        <w:gridCol w:w="638"/>
        <w:gridCol w:w="638"/>
        <w:gridCol w:w="638"/>
        <w:gridCol w:w="638"/>
        <w:gridCol w:w="638"/>
        <w:gridCol w:w="638"/>
      </w:tblGrid>
      <w:tr>
        <w:tc>
          <w:p>
            <w:pPr>
              <w:pStyle w:val="Compact"/>
              <w:jc w:val="left"/>
            </w:pPr>
            <w:r>
              <w:t xml:space="preserve">Model ID</w:t>
            </w:r>
          </w:p>
        </w:tc>
        <w:tc>
          <w:p>
            <w:pPr>
              <w:pStyle w:val="Compact"/>
              <w:jc w:val="left"/>
            </w:pPr>
            <w:r>
              <w:t xml:space="preserve">Architecture</w:t>
            </w:r>
          </w:p>
        </w:tc>
        <w:tc>
          <w:p>
            <w:pPr>
              <w:pStyle w:val="Compact"/>
              <w:jc w:val="left"/>
            </w:pPr>
            <w:r>
              <w:t xml:space="preserve">Modality</w:t>
            </w:r>
          </w:p>
        </w:tc>
        <w:tc>
          <w:p>
            <w:pPr>
              <w:pStyle w:val="Compact"/>
              <w:jc w:val="center"/>
            </w:pPr>
            <w:r>
              <w:t xml:space="preserve">Level</w:t>
            </w:r>
          </w:p>
        </w:tc>
        <w:tc>
          <w:p>
            <w:pPr>
              <w:pStyle w:val="Compact"/>
              <w:jc w:val="center"/>
            </w:pPr>
            <w:r>
              <w:t xml:space="preserve">Accuracy</w:t>
            </w:r>
          </w:p>
        </w:tc>
        <w:tc>
          <w:p>
            <w:pPr>
              <w:pStyle w:val="Compact"/>
              <w:jc w:val="center"/>
            </w:pPr>
            <w:r>
              <w:t xml:space="preserve">Sensitivity</w:t>
            </w:r>
          </w:p>
        </w:tc>
        <w:tc>
          <w:p>
            <w:pPr>
              <w:pStyle w:val="Compact"/>
              <w:jc w:val="center"/>
            </w:pPr>
            <w:r>
              <w:t xml:space="preserve">Specificity</w:t>
            </w:r>
          </w:p>
        </w:tc>
        <w:tc>
          <w:p>
            <w:pPr>
              <w:pStyle w:val="Compact"/>
              <w:jc w:val="center"/>
            </w:pPr>
            <w:r>
              <w:t xml:space="preserve">Precision</w:t>
            </w:r>
          </w:p>
        </w:tc>
        <w:tc>
          <w:p>
            <w:pPr>
              <w:pStyle w:val="Compact"/>
              <w:jc w:val="center"/>
            </w:pPr>
            <w:r>
              <w:t xml:space="preserve">F1-Score</w:t>
            </w:r>
          </w:p>
        </w:tc>
        <w:tc>
          <w:p>
            <w:pPr>
              <w:pStyle w:val="Compact"/>
              <w:jc w:val="center"/>
            </w:pPr>
            <w:r>
              <w:t xml:space="preserve">Balanced Acc</w:t>
            </w:r>
          </w:p>
        </w:tc>
        <w:tc>
          <w:p>
            <w:pPr>
              <w:pStyle w:val="Compact"/>
              <w:jc w:val="center"/>
            </w:pPr>
            <w:r>
              <w:t xml:space="preserve">ROC-AUC</w:t>
            </w:r>
          </w:p>
        </w:tc>
        <w:tc>
          <w:p>
            <w:pPr>
              <w:pStyle w:val="Compact"/>
              <w:jc w:val="center"/>
            </w:pPr>
            <w:r>
              <w:t xml:space="preserve">PR-AUC</w:t>
            </w:r>
          </w:p>
        </w:tc>
        <w:tc>
          <w:p>
            <w:pPr>
              <w:pStyle w:val="Compact"/>
              <w:jc w:val="center"/>
            </w:pPr>
            <w:r>
              <w:t xml:space="preserve">Confusion Matrix</w:t>
            </w:r>
          </w:p>
        </w:tc>
      </w:tr>
      <w:tr>
        <w:tc>
          <w:p>
            <w:pPr>
              <w:pStyle w:val="Compact"/>
              <w:jc w:val="left"/>
            </w:pPr>
            <w:r>
              <w:rPr>
                <w:bCs/>
                <w:b/>
              </w:rPr>
              <w:t xml:space="preserve">Exp 1</w:t>
            </w:r>
          </w:p>
        </w:tc>
        <w:tc>
          <w:p>
            <w:pPr>
              <w:pStyle w:val="Compact"/>
              <w:jc w:val="left"/>
            </w:pPr>
            <w:r>
              <w:t xml:space="preserve">EfficientNet-B0</w:t>
            </w:r>
          </w:p>
        </w:tc>
        <w:tc>
          <w:p>
            <w:pPr>
              <w:pStyle w:val="Compact"/>
              <w:jc w:val="left"/>
            </w:pPr>
            <w:r>
              <w:t xml:space="preserve">Mammogram</w:t>
            </w:r>
          </w:p>
        </w:tc>
        <w:tc>
          <w:p>
            <w:pPr>
              <w:pStyle w:val="Compact"/>
              <w:jc w:val="center"/>
            </w:pPr>
            <w:r>
              <w:t xml:space="preserve">Patient</w:t>
            </w:r>
          </w:p>
        </w:tc>
        <w:tc>
          <w:p>
            <w:pPr>
              <w:pStyle w:val="Compact"/>
              <w:jc w:val="center"/>
            </w:pPr>
            <w:r>
              <w:t xml:space="preserve">85.11%</w:t>
            </w:r>
          </w:p>
        </w:tc>
        <w:tc>
          <w:p>
            <w:pPr>
              <w:pStyle w:val="Compact"/>
              <w:jc w:val="center"/>
            </w:pPr>
            <w:r>
              <w:t xml:space="preserve">14.29% (1/7)</w:t>
            </w:r>
          </w:p>
        </w:tc>
        <w:tc>
          <w:p>
            <w:pPr>
              <w:pStyle w:val="Compact"/>
              <w:jc w:val="center"/>
            </w:pPr>
            <w:r>
              <w:t xml:space="preserve">97.50% (39/40)</w:t>
            </w:r>
          </w:p>
        </w:tc>
        <w:tc>
          <w:p>
            <w:pPr>
              <w:pStyle w:val="Compact"/>
              <w:jc w:val="center"/>
            </w:pPr>
            <w:r>
              <w:t xml:space="preserve">50.00% (1/2)</w:t>
            </w:r>
          </w:p>
        </w:tc>
        <w:tc>
          <w:p>
            <w:pPr>
              <w:pStyle w:val="Compact"/>
              <w:jc w:val="center"/>
            </w:pPr>
            <w:r>
              <w:t xml:space="preserve">0.2222</w:t>
            </w:r>
          </w:p>
        </w:tc>
        <w:tc>
          <w:p>
            <w:pPr>
              <w:pStyle w:val="Compact"/>
              <w:jc w:val="center"/>
            </w:pPr>
            <w:r>
              <w:t xml:space="preserve">55.89%</w:t>
            </w:r>
          </w:p>
        </w:tc>
        <w:tc>
          <w:p>
            <w:pPr>
              <w:pStyle w:val="Compact"/>
              <w:jc w:val="center"/>
            </w:pPr>
            <w:r>
              <w:t xml:space="preserve">0.6571</w:t>
            </w:r>
          </w:p>
        </w:tc>
        <w:tc>
          <w:p>
            <w:pPr>
              <w:pStyle w:val="Compact"/>
              <w:jc w:val="center"/>
            </w:pPr>
            <w:r>
              <w:t xml:space="preserve">0.3079</w:t>
            </w:r>
          </w:p>
        </w:tc>
        <w:tc>
          <w:p>
            <w:pPr>
              <w:pStyle w:val="Compact"/>
              <w:jc w:val="center"/>
            </w:pPr>
            <w:r>
              <w:rPr>
                <w:rStyle w:val="VerbatimChar"/>
              </w:rPr>
              <w:t xml:space="preserve">[39, 1, 6, 1]</w:t>
            </w:r>
          </w:p>
        </w:tc>
      </w:tr>
      <w:tr>
        <w:tc>
          <w:p>
            <w:pPr>
              <w:pStyle w:val="Compact"/>
              <w:jc w:val="left"/>
            </w:pPr>
            <w:r>
              <w:rPr>
                <w:bCs/>
                <w:b/>
              </w:rPr>
              <w:t xml:space="preserve">Exp 2</w:t>
            </w:r>
          </w:p>
        </w:tc>
        <w:tc>
          <w:p>
            <w:pPr>
              <w:pStyle w:val="Compact"/>
              <w:jc w:val="left"/>
            </w:pPr>
            <w:r>
              <w:t xml:space="preserve">ViT-B/16</w:t>
            </w:r>
          </w:p>
        </w:tc>
        <w:tc>
          <w:p>
            <w:pPr>
              <w:pStyle w:val="Compact"/>
              <w:jc w:val="left"/>
            </w:pPr>
            <w:r>
              <w:t xml:space="preserve">Ultrasound</w:t>
            </w:r>
          </w:p>
        </w:tc>
        <w:tc>
          <w:p>
            <w:pPr>
              <w:pStyle w:val="Compact"/>
              <w:jc w:val="center"/>
            </w:pPr>
            <w:r>
              <w:t xml:space="preserve">Patient</w:t>
            </w:r>
          </w:p>
        </w:tc>
        <w:tc>
          <w:p>
            <w:pPr>
              <w:pStyle w:val="Compact"/>
              <w:jc w:val="center"/>
            </w:pPr>
            <w:r>
              <w:t xml:space="preserve">91.49%</w:t>
            </w:r>
          </w:p>
        </w:tc>
        <w:tc>
          <w:p>
            <w:pPr>
              <w:pStyle w:val="Compact"/>
              <w:jc w:val="center"/>
            </w:pPr>
            <w:r>
              <w:t xml:space="preserve">57.14% (4/7)</w:t>
            </w:r>
          </w:p>
        </w:tc>
        <w:tc>
          <w:p>
            <w:pPr>
              <w:pStyle w:val="Compact"/>
              <w:jc w:val="center"/>
            </w:pPr>
            <w:r>
              <w:t xml:space="preserve">97.50% (39/40)</w:t>
            </w:r>
          </w:p>
        </w:tc>
        <w:tc>
          <w:p>
            <w:pPr>
              <w:pStyle w:val="Compact"/>
              <w:jc w:val="center"/>
            </w:pPr>
            <w:r>
              <w:t xml:space="preserve">80.00% (4/5)</w:t>
            </w:r>
          </w:p>
        </w:tc>
        <w:tc>
          <w:p>
            <w:pPr>
              <w:pStyle w:val="Compact"/>
              <w:jc w:val="center"/>
            </w:pPr>
            <w:r>
              <w:t xml:space="preserve">0.6667</w:t>
            </w:r>
          </w:p>
        </w:tc>
        <w:tc>
          <w:p>
            <w:pPr>
              <w:pStyle w:val="Compact"/>
              <w:jc w:val="center"/>
            </w:pPr>
            <w:r>
              <w:t xml:space="preserve">77.32%</w:t>
            </w:r>
          </w:p>
        </w:tc>
        <w:tc>
          <w:p>
            <w:pPr>
              <w:pStyle w:val="Compact"/>
              <w:jc w:val="center"/>
            </w:pPr>
            <w:r>
              <w:t xml:space="preserve">0.8357</w:t>
            </w:r>
          </w:p>
        </w:tc>
        <w:tc>
          <w:p>
            <w:pPr>
              <w:pStyle w:val="Compact"/>
              <w:jc w:val="center"/>
            </w:pPr>
            <w:r>
              <w:t xml:space="preserve">0.7099</w:t>
            </w:r>
          </w:p>
        </w:tc>
        <w:tc>
          <w:p>
            <w:pPr>
              <w:pStyle w:val="Compact"/>
              <w:jc w:val="center"/>
            </w:pPr>
            <w:r>
              <w:rPr>
                <w:rStyle w:val="VerbatimChar"/>
              </w:rPr>
              <w:t xml:space="preserve">[39, 1, 3, 4]</w:t>
            </w:r>
          </w:p>
        </w:tc>
      </w:tr>
      <w:tr>
        <w:tc>
          <w:p>
            <w:pPr>
              <w:pStyle w:val="Compact"/>
              <w:jc w:val="left"/>
            </w:pPr>
            <w:r>
              <w:rPr>
                <w:bCs/>
                <w:b/>
              </w:rPr>
              <w:t xml:space="preserve">Exp 3</w:t>
            </w:r>
          </w:p>
        </w:tc>
        <w:tc>
          <w:p>
            <w:pPr>
              <w:pStyle w:val="Compact"/>
              <w:jc w:val="left"/>
            </w:pPr>
            <w:r>
              <w:t xml:space="preserve">ViT-B/16</w:t>
            </w:r>
          </w:p>
        </w:tc>
        <w:tc>
          <w:p>
            <w:pPr>
              <w:pStyle w:val="Compact"/>
              <w:jc w:val="left"/>
            </w:pPr>
            <w:r>
              <w:t xml:space="preserve">Mammogram</w:t>
            </w:r>
          </w:p>
        </w:tc>
        <w:tc>
          <w:p>
            <w:pPr>
              <w:pStyle w:val="Compact"/>
              <w:jc w:val="center"/>
            </w:pPr>
            <w:r>
              <w:t xml:space="preserve">Patient</w:t>
            </w:r>
          </w:p>
        </w:tc>
        <w:tc>
          <w:p>
            <w:pPr>
              <w:pStyle w:val="Compact"/>
              <w:jc w:val="center"/>
            </w:pPr>
            <w:r>
              <w:t xml:space="preserve">87.23%</w:t>
            </w:r>
          </w:p>
        </w:tc>
        <w:tc>
          <w:p>
            <w:pPr>
              <w:pStyle w:val="Compact"/>
              <w:jc w:val="center"/>
            </w:pPr>
            <w:r>
              <w:t xml:space="preserve">14.29% (1/7)</w:t>
            </w:r>
          </w:p>
        </w:tc>
        <w:tc>
          <w:p>
            <w:pPr>
              <w:pStyle w:val="Compact"/>
              <w:jc w:val="center"/>
            </w:pPr>
            <w:r>
              <w:t xml:space="preserve">100.00% (40/40)</w:t>
            </w:r>
          </w:p>
        </w:tc>
        <w:tc>
          <w:p>
            <w:pPr>
              <w:pStyle w:val="Compact"/>
              <w:jc w:val="center"/>
            </w:pPr>
            <w:r>
              <w:t xml:space="preserve">100.00% (1/1)</w:t>
            </w:r>
          </w:p>
        </w:tc>
        <w:tc>
          <w:p>
            <w:pPr>
              <w:pStyle w:val="Compact"/>
              <w:jc w:val="center"/>
            </w:pPr>
            <w:r>
              <w:t xml:space="preserve">0.2500</w:t>
            </w:r>
          </w:p>
        </w:tc>
        <w:tc>
          <w:p>
            <w:pPr>
              <w:pStyle w:val="Compact"/>
              <w:jc w:val="center"/>
            </w:pPr>
            <w:r>
              <w:t xml:space="preserve">57.14%</w:t>
            </w:r>
          </w:p>
        </w:tc>
        <w:tc>
          <w:p>
            <w:pPr>
              <w:pStyle w:val="Compact"/>
              <w:jc w:val="center"/>
            </w:pPr>
            <w:r>
              <w:t xml:space="preserve">0.7893</w:t>
            </w:r>
          </w:p>
        </w:tc>
        <w:tc>
          <w:p>
            <w:pPr>
              <w:pStyle w:val="Compact"/>
              <w:jc w:val="center"/>
            </w:pPr>
            <w:r>
              <w:t xml:space="preserve">0.4130</w:t>
            </w:r>
          </w:p>
        </w:tc>
        <w:tc>
          <w:p>
            <w:pPr>
              <w:pStyle w:val="Compact"/>
              <w:jc w:val="center"/>
            </w:pPr>
            <w:r>
              <w:rPr>
                <w:rStyle w:val="VerbatimChar"/>
              </w:rPr>
              <w:t xml:space="preserve">[40, 0, 6, 1]</w:t>
            </w:r>
          </w:p>
        </w:tc>
      </w:tr>
      <w:tr>
        <w:tc>
          <w:p>
            <w:pPr>
              <w:pStyle w:val="Compact"/>
              <w:jc w:val="left"/>
            </w:pPr>
            <w:r>
              <w:rPr>
                <w:bCs/>
                <w:b/>
              </w:rPr>
              <w:t xml:space="preserve">Exp 4</w:t>
            </w:r>
          </w:p>
        </w:tc>
        <w:tc>
          <w:p>
            <w:pPr>
              <w:pStyle w:val="Compact"/>
              <w:jc w:val="left"/>
            </w:pPr>
            <w:r>
              <w:t xml:space="preserve">EfficientNet-B0</w:t>
            </w:r>
          </w:p>
        </w:tc>
        <w:tc>
          <w:p>
            <w:pPr>
              <w:pStyle w:val="Compact"/>
              <w:jc w:val="left"/>
            </w:pPr>
            <w:r>
              <w:t xml:space="preserve">Ultrasound</w:t>
            </w:r>
          </w:p>
        </w:tc>
        <w:tc>
          <w:p>
            <w:pPr>
              <w:pStyle w:val="Compact"/>
              <w:jc w:val="center"/>
            </w:pPr>
            <w:r>
              <w:t xml:space="preserve">Patient</w:t>
            </w:r>
          </w:p>
        </w:tc>
        <w:tc>
          <w:p>
            <w:pPr>
              <w:pStyle w:val="Compact"/>
              <w:jc w:val="center"/>
            </w:pPr>
            <w:r>
              <w:t xml:space="preserve">48.94%</w:t>
            </w:r>
          </w:p>
        </w:tc>
        <w:tc>
          <w:p>
            <w:pPr>
              <w:pStyle w:val="Compact"/>
              <w:jc w:val="center"/>
            </w:pPr>
            <w:r>
              <w:t xml:space="preserve">100.00% (7/7)</w:t>
            </w:r>
          </w:p>
        </w:tc>
        <w:tc>
          <w:p>
            <w:pPr>
              <w:pStyle w:val="Compact"/>
              <w:jc w:val="center"/>
            </w:pPr>
            <w:r>
              <w:t xml:space="preserve">40.00% (16/40)</w:t>
            </w:r>
          </w:p>
        </w:tc>
        <w:tc>
          <w:p>
            <w:pPr>
              <w:pStyle w:val="Compact"/>
              <w:jc w:val="center"/>
            </w:pPr>
            <w:r>
              <w:t xml:space="preserve">22.58% (7/31)</w:t>
            </w:r>
          </w:p>
        </w:tc>
        <w:tc>
          <w:p>
            <w:pPr>
              <w:pStyle w:val="Compact"/>
              <w:jc w:val="center"/>
            </w:pPr>
            <w:r>
              <w:t xml:space="preserve">0.3684</w:t>
            </w:r>
          </w:p>
        </w:tc>
        <w:tc>
          <w:p>
            <w:pPr>
              <w:pStyle w:val="Compact"/>
              <w:jc w:val="center"/>
            </w:pPr>
            <w:r>
              <w:t xml:space="preserve">70.00%</w:t>
            </w:r>
          </w:p>
        </w:tc>
        <w:tc>
          <w:p>
            <w:pPr>
              <w:pStyle w:val="Compact"/>
              <w:jc w:val="center"/>
            </w:pPr>
            <w:r>
              <w:t xml:space="preserve">0.8357</w:t>
            </w:r>
          </w:p>
        </w:tc>
        <w:tc>
          <w:p>
            <w:pPr>
              <w:pStyle w:val="Compact"/>
              <w:jc w:val="center"/>
            </w:pPr>
            <w:r>
              <w:t xml:space="preserve">0.4999</w:t>
            </w:r>
          </w:p>
        </w:tc>
        <w:tc>
          <w:p>
            <w:pPr>
              <w:pStyle w:val="Compact"/>
              <w:jc w:val="center"/>
            </w:pPr>
            <w:r>
              <w:rPr>
                <w:rStyle w:val="VerbatimChar"/>
              </w:rPr>
              <w:t xml:space="preserve">[16, 24, 0, 7]</w:t>
            </w:r>
          </w:p>
        </w:tc>
      </w:tr>
      <w:tr>
        <w:tc>
          <w:p>
            <w:pPr>
              <w:pStyle w:val="Compact"/>
              <w:jc w:val="left"/>
            </w:pPr>
            <w:r>
              <w:rPr>
                <w:bCs/>
                <w:b/>
              </w:rPr>
              <w:t xml:space="preserve">GIT 1</w:t>
            </w:r>
          </w:p>
        </w:tc>
        <w:tc>
          <w:p>
            <w:pPr>
              <w:pStyle w:val="Compact"/>
              <w:jc w:val="left"/>
            </w:pPr>
            <w:r>
              <w:t xml:space="preserve">EffNet MG + ViT US</w:t>
            </w:r>
          </w:p>
        </w:tc>
        <w:tc>
          <w:p>
            <w:pPr>
              <w:pStyle w:val="Compact"/>
              <w:jc w:val="left"/>
            </w:pPr>
            <w:r>
              <w:t xml:space="preserve">Multimodal</w:t>
            </w:r>
          </w:p>
        </w:tc>
        <w:tc>
          <w:p>
            <w:pPr>
              <w:pStyle w:val="Compact"/>
              <w:jc w:val="center"/>
            </w:pPr>
            <w:r>
              <w:t xml:space="preserve">Patient</w:t>
            </w:r>
          </w:p>
        </w:tc>
        <w:tc>
          <w:p>
            <w:pPr>
              <w:pStyle w:val="Compact"/>
              <w:jc w:val="center"/>
            </w:pPr>
            <w:r>
              <w:t xml:space="preserve">82.98%</w:t>
            </w:r>
          </w:p>
        </w:tc>
        <w:tc>
          <w:p>
            <w:pPr>
              <w:pStyle w:val="Compact"/>
              <w:jc w:val="center"/>
            </w:pPr>
            <w:r>
              <w:t xml:space="preserve">71.43% (5/7)</w:t>
            </w:r>
          </w:p>
        </w:tc>
        <w:tc>
          <w:p>
            <w:pPr>
              <w:pStyle w:val="Compact"/>
              <w:jc w:val="center"/>
            </w:pPr>
            <w:r>
              <w:t xml:space="preserve">85.00% (34/40)</w:t>
            </w:r>
          </w:p>
        </w:tc>
        <w:tc>
          <w:p>
            <w:pPr>
              <w:pStyle w:val="Compact"/>
              <w:jc w:val="center"/>
            </w:pPr>
            <w:r>
              <w:t xml:space="preserve">45.45% (5/11)</w:t>
            </w:r>
          </w:p>
        </w:tc>
        <w:tc>
          <w:p>
            <w:pPr>
              <w:pStyle w:val="Compact"/>
              <w:jc w:val="center"/>
            </w:pPr>
            <w:r>
              <w:t xml:space="preserve">0.5556</w:t>
            </w:r>
          </w:p>
        </w:tc>
        <w:tc>
          <w:p>
            <w:pPr>
              <w:pStyle w:val="Compact"/>
              <w:jc w:val="center"/>
            </w:pPr>
            <w:r>
              <w:t xml:space="preserve">78.21%</w:t>
            </w:r>
          </w:p>
        </w:tc>
        <w:tc>
          <w:p>
            <w:pPr>
              <w:pStyle w:val="Compact"/>
              <w:jc w:val="center"/>
            </w:pPr>
            <w:r>
              <w:rPr>
                <w:bCs/>
                <w:b/>
              </w:rPr>
              <w:t xml:space="preserve">0.8857</w:t>
            </w:r>
          </w:p>
        </w:tc>
        <w:tc>
          <w:p>
            <w:pPr>
              <w:pStyle w:val="Compact"/>
              <w:jc w:val="center"/>
            </w:pPr>
            <w:r>
              <w:rPr>
                <w:bCs/>
                <w:b/>
              </w:rPr>
              <w:t xml:space="preserve">0.5729</w:t>
            </w:r>
          </w:p>
        </w:tc>
        <w:tc>
          <w:p>
            <w:pPr>
              <w:pStyle w:val="Compact"/>
              <w:jc w:val="center"/>
            </w:pPr>
            <w:r>
              <w:rPr>
                <w:rStyle w:val="VerbatimChar"/>
              </w:rPr>
              <w:t xml:space="preserve">[34, 6, 2, 5]</w:t>
            </w:r>
          </w:p>
        </w:tc>
      </w:tr>
      <w:tr>
        <w:tc>
          <w:p>
            <w:pPr>
              <w:pStyle w:val="Compact"/>
              <w:jc w:val="left"/>
            </w:pPr>
            <w:r>
              <w:rPr>
                <w:bCs/>
                <w:b/>
              </w:rPr>
              <w:t xml:space="preserve">GIT 2</w:t>
            </w:r>
          </w:p>
        </w:tc>
        <w:tc>
          <w:p>
            <w:pPr>
              <w:pStyle w:val="Compact"/>
              <w:jc w:val="left"/>
            </w:pPr>
            <w:r>
              <w:t xml:space="preserve">ViT MG + EffNet US</w:t>
            </w:r>
          </w:p>
        </w:tc>
        <w:tc>
          <w:p>
            <w:pPr>
              <w:pStyle w:val="Compact"/>
              <w:jc w:val="left"/>
            </w:pPr>
            <w:r>
              <w:t xml:space="preserve">Multimodal</w:t>
            </w:r>
          </w:p>
        </w:tc>
        <w:tc>
          <w:p>
            <w:pPr>
              <w:pStyle w:val="Compact"/>
              <w:jc w:val="center"/>
            </w:pPr>
            <w:r>
              <w:t xml:space="preserve">Patient</w:t>
            </w:r>
          </w:p>
        </w:tc>
        <w:tc>
          <w:p>
            <w:pPr>
              <w:pStyle w:val="Compact"/>
              <w:jc w:val="center"/>
            </w:pPr>
            <w:r>
              <w:t xml:space="preserve">63.83%</w:t>
            </w:r>
          </w:p>
        </w:tc>
        <w:tc>
          <w:p>
            <w:pPr>
              <w:pStyle w:val="Compact"/>
              <w:jc w:val="center"/>
            </w:pPr>
            <w:r>
              <w:t xml:space="preserve">100.00% (7/7)</w:t>
            </w:r>
          </w:p>
        </w:tc>
        <w:tc>
          <w:p>
            <w:pPr>
              <w:pStyle w:val="Compact"/>
              <w:jc w:val="center"/>
            </w:pPr>
            <w:r>
              <w:t xml:space="preserve">57.50% (23/40)</w:t>
            </w:r>
          </w:p>
        </w:tc>
        <w:tc>
          <w:p>
            <w:pPr>
              <w:pStyle w:val="Compact"/>
              <w:jc w:val="center"/>
            </w:pPr>
            <w:r>
              <w:t xml:space="preserve">29.17% (7/24)</w:t>
            </w:r>
          </w:p>
        </w:tc>
        <w:tc>
          <w:p>
            <w:pPr>
              <w:pStyle w:val="Compact"/>
              <w:jc w:val="center"/>
            </w:pPr>
            <w:r>
              <w:t xml:space="preserve">0.4516</w:t>
            </w:r>
          </w:p>
        </w:tc>
        <w:tc>
          <w:p>
            <w:pPr>
              <w:pStyle w:val="Compact"/>
              <w:jc w:val="center"/>
            </w:pPr>
            <w:r>
              <w:t xml:space="preserve">78.75%</w:t>
            </w:r>
          </w:p>
        </w:tc>
        <w:tc>
          <w:p>
            <w:pPr>
              <w:pStyle w:val="Compact"/>
              <w:jc w:val="center"/>
            </w:pPr>
            <w:r>
              <w:rPr>
                <w:bCs/>
                <w:b/>
              </w:rPr>
              <w:t xml:space="preserve">0.8321</w:t>
            </w:r>
          </w:p>
        </w:tc>
        <w:tc>
          <w:p>
            <w:pPr>
              <w:pStyle w:val="Compact"/>
              <w:jc w:val="center"/>
            </w:pPr>
            <w:r>
              <w:rPr>
                <w:bCs/>
                <w:b/>
              </w:rPr>
              <w:t xml:space="preserve">0.4048</w:t>
            </w:r>
          </w:p>
        </w:tc>
        <w:tc>
          <w:p>
            <w:pPr>
              <w:pStyle w:val="Compact"/>
              <w:jc w:val="center"/>
            </w:pPr>
            <w:r>
              <w:rPr>
                <w:rStyle w:val="VerbatimChar"/>
              </w:rPr>
              <w:t xml:space="preserve">[23, 17, 0, 7]</w:t>
            </w:r>
          </w:p>
        </w:tc>
      </w:tr>
    </w:tbl>
    <w:p>
      <w:pPr>
        <w:pStyle w:val="BodyText"/>
      </w:pPr>
      <w:r>
        <w:rPr>
          <w:bCs/>
          <w:b/>
        </w:rPr>
        <w:t xml:space="preserve">Observations:</w:t>
      </w:r>
      <w:r>
        <w:t xml:space="preserve"> </w:t>
      </w:r>
      <w:r>
        <w:t xml:space="preserve">Unimodal mammography models (Exp 1 and Exp 3) suffered from severe sensitivity collapse at threshold 0.50 (detecting only 1 of 7 suspicious/actionable cases), while multimodal fusion in GIT 1 achieved balanced performance directly at threshold 0.50 (ROC-AUC 0.8857, Sensitivity 71.43%, Specificity 85.00%).</w:t>
      </w:r>
    </w:p>
    <w:bookmarkEnd w:id="44"/>
    <w:bookmarkStart w:id="45" w:name="X7deb7478750915b78b326631823fb7e90ef733f"/>
    <w:p>
      <w:pPr>
        <w:pStyle w:val="Heading3"/>
      </w:pPr>
      <w:r>
        <w:t xml:space="preserve">6.2 Phase C: Focal Loss Exploration &amp; C3 Selection</w:t>
      </w:r>
    </w:p>
    <w:p>
      <w:pPr>
        <w:pStyle w:val="FirstParagraph"/>
      </w:pPr>
      <w:r>
        <w:t xml:space="preserve">Phase C explored loss modulation to address false negatives in GIT 1 on validation data (</w:t>
      </w:r>
      <m:oMath>
        <m:sSub>
          <m:e>
            <m:r>
              <m:t>N</m:t>
            </m:r>
          </m:e>
          <m:sub>
            <m:r>
              <m:rPr>
                <m:nor/>
                <m:sty m:val="p"/>
              </m:rPr>
              <m:t>val</m:t>
            </m:r>
          </m:sub>
        </m:sSub>
        <m:r>
          <m:rPr>
            <m:sty m:val="p"/>
          </m:rPr>
          <m:t>=</m:t>
        </m:r>
        <m:r>
          <m:t>48</m:t>
        </m:r>
      </m:oMath>
      <w:r>
        <w:t xml:space="preserve">):</w:t>
      </w:r>
      <w:r>
        <w:t xml:space="preserve"> </w:t>
      </w:r>
      <w:r>
        <w:t xml:space="preserve">-</w:t>
      </w:r>
      <w:r>
        <w:t xml:space="preserve"> </w:t>
      </w:r>
      <w:r>
        <w:rPr>
          <w:bCs/>
          <w:b/>
        </w:rPr>
        <w:t xml:space="preserve">C1 (Weighted BCE Repro):</w:t>
      </w:r>
      <w:r>
        <w:t xml:space="preserve"> </w:t>
      </w:r>
      <m:oMath>
        <m:r>
          <m:t>S</m:t>
        </m:r>
        <m:r>
          <m:rPr>
            <m:sty m:val="p"/>
          </m:rPr>
          <m:t>=</m:t>
        </m:r>
        <m:r>
          <m:t>0.8086</m:t>
        </m:r>
      </m:oMath>
      <w:r>
        <w:t xml:space="preserve">, Val Loss</w:t>
      </w:r>
      <w:r>
        <w:t xml:space="preserve"> </w:t>
      </w:r>
      <m:oMath>
        <m:r>
          <m:t>0.4272</m:t>
        </m:r>
      </m:oMath>
      <w:r>
        <w:t xml:space="preserve">.</w:t>
      </w:r>
      <w:r>
        <w:t xml:space="preserve"> </w:t>
      </w:r>
      <w:r>
        <w:t xml:space="preserve">-</w:t>
      </w:r>
      <w:r>
        <w:t xml:space="preserve"> </w:t>
      </w:r>
      <w:r>
        <w:rPr>
          <w:bCs/>
          <w:b/>
        </w:rPr>
        <w:t xml:space="preserve">C2 (Focal</w:t>
      </w:r>
      <w:r>
        <w:rPr>
          <w:bCs/>
          <w:b/>
        </w:rPr>
        <w:t xml:space="preserve"> </w:t>
      </w:r>
      <m:oMath>
        <m:r>
          <m:t>γ</m:t>
        </m:r>
        <m:r>
          <m:rPr>
            <m:sty m:val="p"/>
          </m:rPr>
          <m:t>=</m:t>
        </m:r>
        <m:r>
          <m:t>2.0</m:t>
        </m:r>
      </m:oMath>
      <w:r>
        <w:rPr>
          <w:bCs/>
          <w:b/>
        </w:rPr>
        <w:t xml:space="preserve">):</w:t>
      </w:r>
      <w:r>
        <w:t xml:space="preserve"> </w:t>
      </w:r>
      <m:oMath>
        <m:r>
          <m:t>S</m:t>
        </m:r>
        <m:r>
          <m:rPr>
            <m:sty m:val="p"/>
          </m:rPr>
          <m:t>=</m:t>
        </m:r>
        <m:r>
          <m:t>0.8276</m:t>
        </m:r>
      </m:oMath>
      <w:r>
        <w:t xml:space="preserve">, Val Loss</w:t>
      </w:r>
      <w:r>
        <w:t xml:space="preserve"> </w:t>
      </w:r>
      <m:oMath>
        <m:r>
          <m:t>0.2537</m:t>
        </m:r>
      </m:oMath>
      <w:r>
        <w:t xml:space="preserve">. Overfitting gap</w:t>
      </w:r>
      <w:r>
        <w:t xml:space="preserve"> </w:t>
      </w:r>
      <m:oMath>
        <m:r>
          <m:rPr>
            <m:sty m:val="p"/>
          </m:rPr>
          <m:t>+</m:t>
        </m:r>
        <m:r>
          <m:t>0.2462</m:t>
        </m:r>
      </m:oMath>
      <w:r>
        <w:t xml:space="preserve">.</w:t>
      </w:r>
      <w:r>
        <w:t xml:space="preserve"> </w:t>
      </w:r>
      <w:r>
        <w:t xml:space="preserve">-</w:t>
      </w:r>
      <w:r>
        <w:t xml:space="preserve"> </w:t>
      </w:r>
      <w:r>
        <w:rPr>
          <w:bCs/>
          <w:b/>
        </w:rPr>
        <w:t xml:space="preserve">C3 (Focal</w:t>
      </w:r>
      <w:r>
        <w:rPr>
          <w:bCs/>
          <w:b/>
        </w:rPr>
        <w:t xml:space="preserve"> </w:t>
      </w:r>
      <m:oMath>
        <m:r>
          <m:t>γ</m:t>
        </m:r>
        <m:r>
          <m:rPr>
            <m:sty m:val="p"/>
          </m:rPr>
          <m:t>=</m:t>
        </m:r>
        <m:r>
          <m:t>1.5</m:t>
        </m:r>
      </m:oMath>
      <w:r>
        <w:rPr>
          <w:bCs/>
          <w:b/>
        </w:rPr>
        <w:t xml:space="preserve">):</w:t>
      </w:r>
      <w:r>
        <w:t xml:space="preserve"> </w:t>
      </w:r>
      <m:oMath>
        <m:r>
          <m:t>S</m:t>
        </m:r>
        <m:r>
          <m:rPr>
            <m:sty m:val="p"/>
          </m:rPr>
          <m:t>=</m:t>
        </m:r>
        <m:r>
          <m:t>0.8351</m:t>
        </m:r>
      </m:oMath>
      <w:r>
        <w:t xml:space="preserve">, Val Loss</w:t>
      </w:r>
      <w:r>
        <w:t xml:space="preserve"> </w:t>
      </w:r>
      <m:oMath>
        <m:r>
          <m:t>0.1679</m:t>
        </m:r>
      </m:oMath>
      <w:r>
        <w:t xml:space="preserve">, Val ROC-AUC</w:t>
      </w:r>
      <w:r>
        <w:t xml:space="preserve"> </w:t>
      </w:r>
      <m:oMath>
        <m:r>
          <m:t>0.9281</m:t>
        </m:r>
      </m:oMath>
      <w:r>
        <w:t xml:space="preserve">, Val PR-AUC</w:t>
      </w:r>
      <w:r>
        <w:t xml:space="preserve"> </w:t>
      </w:r>
      <m:oMath>
        <m:r>
          <m:t>0.7661</m:t>
        </m:r>
      </m:oMath>
      <w:r>
        <w:t xml:space="preserve">, Val Sensitivity</w:t>
      </w:r>
      <w:r>
        <w:t xml:space="preserve"> </w:t>
      </w:r>
      <m:oMath>
        <m:r>
          <m:t>75.00</m:t>
        </m:r>
        <m:r>
          <m:rPr>
            <m:sty m:val="p"/>
          </m:rPr>
          <m:t>%</m:t>
        </m:r>
      </m:oMath>
      <w:r>
        <w:t xml:space="preserve"> </w:t>
      </w:r>
      <w:r>
        <w:t xml:space="preserve">(</w:t>
      </w:r>
      <m:oMath>
        <m:r>
          <m:t>6</m:t>
        </m:r>
        <m:r>
          <m:rPr>
            <m:sty m:val="p"/>
          </m:rPr>
          <m:t>/</m:t>
        </m:r>
        <m:r>
          <m:t>8</m:t>
        </m:r>
      </m:oMath>
      <w:r>
        <w:t xml:space="preserve">), Val Specificity</w:t>
      </w:r>
      <w:r>
        <w:t xml:space="preserve"> </w:t>
      </w:r>
      <m:oMath>
        <m:r>
          <m:t>92.50</m:t>
        </m:r>
        <m:r>
          <m:rPr>
            <m:sty m:val="p"/>
          </m:rPr>
          <m:t>%</m:t>
        </m:r>
      </m:oMath>
      <w:r>
        <w:t xml:space="preserve"> </w:t>
      </w:r>
      <w:r>
        <w:t xml:space="preserve">(</w:t>
      </w:r>
      <m:oMath>
        <m:r>
          <m:t>37</m:t>
        </m:r>
        <m:r>
          <m:rPr>
            <m:sty m:val="p"/>
          </m:rPr>
          <m:t>/</m:t>
        </m:r>
        <m:r>
          <m:t>40</m:t>
        </m:r>
      </m:oMath>
      <w:r>
        <w:t xml:space="preserve">), F1</w:t>
      </w:r>
      <w:r>
        <w:t xml:space="preserve"> </w:t>
      </w:r>
      <m:oMath>
        <m:r>
          <m:t>0.7059</m:t>
        </m:r>
      </m:oMath>
      <w:r>
        <w:t xml:space="preserve">. Healthy loss gap</w:t>
      </w:r>
      <w:r>
        <w:t xml:space="preserve"> </w:t>
      </w:r>
      <m:oMath>
        <m:r>
          <m:rPr>
            <m:sty m:val="p"/>
          </m:rPr>
          <m:t>+</m:t>
        </m:r>
        <m:r>
          <m:t>0.0089</m:t>
        </m:r>
      </m:oMath>
      <w:r>
        <w:t xml:space="preserve">.</w:t>
      </w:r>
      <w:r>
        <w:t xml:space="preserve"> </w:t>
      </w:r>
      <w:r>
        <w:t xml:space="preserve">-</w:t>
      </w:r>
      <w:r>
        <w:t xml:space="preserve"> </w:t>
      </w:r>
      <w:r>
        <w:rPr>
          <w:bCs/>
          <w:b/>
        </w:rPr>
        <w:t xml:space="preserve">C4 (Weighted BCE, Low LR):</w:t>
      </w:r>
      <w:r>
        <w:t xml:space="preserve"> </w:t>
      </w:r>
      <m:oMath>
        <m:r>
          <m:t>S</m:t>
        </m:r>
        <m:r>
          <m:rPr>
            <m:sty m:val="p"/>
          </m:rPr>
          <m:t>=</m:t>
        </m:r>
        <m:r>
          <m:t>0.8338</m:t>
        </m:r>
      </m:oMath>
      <w:r>
        <w:t xml:space="preserve">, Val Loss</w:t>
      </w:r>
      <w:r>
        <w:t xml:space="preserve"> </w:t>
      </w:r>
      <m:oMath>
        <m:r>
          <m:t>0.4664</m:t>
        </m:r>
      </m:oMath>
      <w:r>
        <w:t xml:space="preserve">.</w:t>
      </w:r>
      <w:r>
        <w:t xml:space="preserve"> </w:t>
      </w:r>
      <w:r>
        <w:t xml:space="preserve">-</w:t>
      </w:r>
      <w:r>
        <w:t xml:space="preserve"> </w:t>
      </w:r>
      <w:r>
        <w:rPr>
          <w:bCs/>
          <w:b/>
        </w:rPr>
        <w:t xml:space="preserve">C5 (Focal, Low LR, Weight Decay 0.02):</w:t>
      </w:r>
      <w:r>
        <w:t xml:space="preserve"> </w:t>
      </w:r>
      <m:oMath>
        <m:r>
          <m:t>S</m:t>
        </m:r>
        <m:r>
          <m:rPr>
            <m:sty m:val="p"/>
          </m:rPr>
          <m:t>=</m:t>
        </m:r>
        <m:r>
          <m:t>0.8122</m:t>
        </m:r>
      </m:oMath>
      <w:r>
        <w:t xml:space="preserve">, Val Loss</w:t>
      </w:r>
      <w:r>
        <w:t xml:space="preserve"> </w:t>
      </w:r>
      <m:oMath>
        <m:r>
          <m:t>0.1227</m:t>
        </m:r>
      </m:oMath>
      <w:r>
        <w:t xml:space="preserve">.</w:t>
      </w:r>
    </w:p>
    <w:p>
      <w:pPr>
        <w:pStyle w:val="BodyText"/>
      </w:pPr>
      <w:r>
        <w:t xml:space="preserve">Candidate</w:t>
      </w:r>
      <w:r>
        <w:t xml:space="preserve"> </w:t>
      </w:r>
      <w:r>
        <w:rPr>
          <w:bCs/>
          <w:b/>
        </w:rPr>
        <w:t xml:space="preserve">C3</w:t>
      </w:r>
      <w:r>
        <w:t xml:space="preserve"> </w:t>
      </w:r>
      <w:r>
        <w:t xml:space="preserve">was formally selected as the primary benchmark comparator based on the highest validation composite score (</w:t>
      </w:r>
      <m:oMath>
        <m:r>
          <m:t>S</m:t>
        </m:r>
        <m:r>
          <m:rPr>
            <m:sty m:val="p"/>
          </m:rPr>
          <m:t>=</m:t>
        </m:r>
        <m:r>
          <m:t>0.8351</m:t>
        </m:r>
      </m:oMath>
      <w:r>
        <w:t xml:space="preserve">).</w:t>
      </w:r>
    </w:p>
    <w:bookmarkEnd w:id="45"/>
    <w:bookmarkStart w:id="46" w:name="Xa54995a2de04dbcef8ae768404b2d2c450c1b00"/>
    <w:p>
      <w:pPr>
        <w:pStyle w:val="Heading3"/>
      </w:pPr>
      <w:r>
        <w:t xml:space="preserve">6.3 Phase D1–D5: Controlled Hyperparameter Ablations</w:t>
      </w:r>
    </w:p>
    <w:p>
      <w:pPr>
        <w:pStyle w:val="FirstParagraph"/>
      </w:pPr>
      <w:r>
        <w:t xml:space="preserve">Phase D executed isolated, single-variable ablations strictly on development data:</w:t>
      </w:r>
      <w:r>
        <w:t xml:space="preserve"> </w:t>
      </w:r>
      <w:r>
        <w:t xml:space="preserve">-</w:t>
      </w:r>
      <w:r>
        <w:t xml:space="preserve"> </w:t>
      </w:r>
      <w:r>
        <w:rPr>
          <w:bCs/>
          <w:b/>
        </w:rPr>
        <w:t xml:space="preserve">D1 (C3 Reproduction):</w:t>
      </w:r>
      <w:r>
        <w:t xml:space="preserve"> </w:t>
      </w:r>
      <w:r>
        <w:t xml:space="preserve">Bit-exact replication of C3 (</w:t>
      </w:r>
      <m:oMath>
        <m:r>
          <m:t>S</m:t>
        </m:r>
        <m:r>
          <m:rPr>
            <m:sty m:val="p"/>
          </m:rPr>
          <m:t>=</m:t>
        </m:r>
        <m:r>
          <m:t>0.8351</m:t>
        </m:r>
      </m:oMath>
      <w:r>
        <w:t xml:space="preserve">, Epoch 4, loss</w:t>
      </w:r>
      <w:r>
        <w:t xml:space="preserve"> </w:t>
      </w:r>
      <m:oMath>
        <m:r>
          <m:t>0.1679</m:t>
        </m:r>
      </m:oMath>
      <w:r>
        <w:t xml:space="preserve">).</w:t>
      </w:r>
      <w:r>
        <w:t xml:space="preserve"> </w:t>
      </w:r>
      <w:r>
        <w:t xml:space="preserve">-</w:t>
      </w:r>
      <w:r>
        <w:t xml:space="preserve"> </w:t>
      </w:r>
      <w:r>
        <w:rPr>
          <w:bCs/>
          <w:b/>
        </w:rPr>
        <w:t xml:space="preserve">D2 (Milder Focusing</w:t>
      </w:r>
      <w:r>
        <w:rPr>
          <w:bCs/>
          <w:b/>
        </w:rPr>
        <w:t xml:space="preserve"> </w:t>
      </w:r>
      <m:oMath>
        <m:r>
          <m:t>γ</m:t>
        </m:r>
        <m:r>
          <m:rPr>
            <m:sty m:val="p"/>
          </m:rPr>
          <m:t>=</m:t>
        </m:r>
        <m:r>
          <m:t>1.0</m:t>
        </m:r>
      </m:oMath>
      <w:r>
        <w:rPr>
          <w:bCs/>
          <w:b/>
        </w:rPr>
        <w:t xml:space="preserve">):</w:t>
      </w:r>
      <w:r>
        <w:t xml:space="preserve"> </w:t>
      </w:r>
      <m:oMath>
        <m:r>
          <m:t>S</m:t>
        </m:r>
        <m:r>
          <m:rPr>
            <m:sty m:val="p"/>
          </m:rPr>
          <m:t>=</m:t>
        </m:r>
        <m:r>
          <m:t>0.8351</m:t>
        </m:r>
      </m:oMath>
      <w:r>
        <w:t xml:space="preserve">, identical ranking, but higher loss (</w:t>
      </w:r>
      <m:oMath>
        <m:r>
          <m:t>0.2250</m:t>
        </m:r>
      </m:oMath>
      <w:r>
        <w:t xml:space="preserve">).</w:t>
      </w:r>
      <w:r>
        <w:t xml:space="preserve"> </w:t>
      </w:r>
      <w:r>
        <w:t xml:space="preserve">-</w:t>
      </w:r>
      <w:r>
        <w:t xml:space="preserve"> </w:t>
      </w:r>
      <w:r>
        <w:rPr>
          <w:bCs/>
          <w:b/>
        </w:rPr>
        <w:t xml:space="preserve">D3 (Stronger Focusing</w:t>
      </w:r>
      <w:r>
        <w:rPr>
          <w:bCs/>
          <w:b/>
        </w:rPr>
        <w:t xml:space="preserve"> </w:t>
      </w:r>
      <m:oMath>
        <m:r>
          <m:t>γ</m:t>
        </m:r>
        <m:r>
          <m:rPr>
            <m:sty m:val="p"/>
          </m:rPr>
          <m:t>=</m:t>
        </m:r>
        <m:r>
          <m:t>2.0</m:t>
        </m:r>
      </m:oMath>
      <w:r>
        <w:rPr>
          <w:bCs/>
          <w:b/>
        </w:rPr>
        <w:t xml:space="preserve">):</w:t>
      </w:r>
      <w:r>
        <w:t xml:space="preserve"> </w:t>
      </w:r>
      <m:oMath>
        <m:r>
          <m:t>S</m:t>
        </m:r>
        <m:r>
          <m:rPr>
            <m:sty m:val="p"/>
          </m:rPr>
          <m:t>=</m:t>
        </m:r>
        <m:r>
          <m:t>0.8276</m:t>
        </m:r>
      </m:oMath>
      <w:r>
        <w:t xml:space="preserve">, delayed convergence (Epoch 10), severe training memorization (train acc</w:t>
      </w:r>
      <w:r>
        <w:t xml:space="preserve"> </w:t>
      </w:r>
      <m:oMath>
        <m:r>
          <m:t>99.55</m:t>
        </m:r>
        <m:r>
          <m:rPr>
            <m:sty m:val="p"/>
          </m:rPr>
          <m:t>%</m:t>
        </m:r>
      </m:oMath>
      <w:r>
        <w:t xml:space="preserve">, gap</w:t>
      </w:r>
      <w:r>
        <w:t xml:space="preserve"> </w:t>
      </w:r>
      <m:oMath>
        <m:r>
          <m:rPr>
            <m:sty m:val="p"/>
          </m:rPr>
          <m:t>+</m:t>
        </m:r>
        <m:r>
          <m:t>0.2462</m:t>
        </m:r>
      </m:oMath>
      <w:r>
        <w:t xml:space="preserve">).</w:t>
      </w:r>
      <w:r>
        <w:t xml:space="preserve"> </w:t>
      </w:r>
      <w:r>
        <w:t xml:space="preserve">-</w:t>
      </w:r>
      <w:r>
        <w:t xml:space="preserve"> </w:t>
      </w:r>
      <w:r>
        <w:rPr>
          <w:bCs/>
          <w:b/>
        </w:rPr>
        <w:t xml:space="preserve">D4 (Higher Dropout</w:t>
      </w:r>
      <w:r>
        <w:rPr>
          <w:bCs/>
          <w:b/>
        </w:rPr>
        <w:t xml:space="preserve"> </w:t>
      </w:r>
      <m:oMath>
        <m:r>
          <m:t>0.40</m:t>
        </m:r>
      </m:oMath>
      <w:r>
        <w:rPr>
          <w:bCs/>
          <w:b/>
        </w:rPr>
        <w:t xml:space="preserve">):</w:t>
      </w:r>
      <w:r>
        <w:t xml:space="preserve"> </w:t>
      </w:r>
      <m:oMath>
        <m:r>
          <m:t>S</m:t>
        </m:r>
        <m:r>
          <m:rPr>
            <m:sty m:val="p"/>
          </m:rPr>
          <m:t>=</m:t>
        </m:r>
        <m:r>
          <m:t>0.8334</m:t>
        </m:r>
      </m:oMath>
      <w:r>
        <w:t xml:space="preserve">. Over-regularization caused conservative probability collapse: specificity reached</w:t>
      </w:r>
      <w:r>
        <w:t xml:space="preserve"> </w:t>
      </w:r>
      <m:oMath>
        <m:r>
          <m:t>100.0</m:t>
        </m:r>
        <m:r>
          <m:rPr>
            <m:sty m:val="p"/>
          </m:rPr>
          <m:t>%</m:t>
        </m:r>
      </m:oMath>
      <w:r>
        <w:t xml:space="preserve">, but sensitivity collapsed to</w:t>
      </w:r>
      <w:r>
        <w:t xml:space="preserve"> </w:t>
      </w:r>
      <m:oMath>
        <m:r>
          <m:t>50.00</m:t>
        </m:r>
        <m:r>
          <m:rPr>
            <m:sty m:val="p"/>
          </m:rPr>
          <m:t>%</m:t>
        </m:r>
      </m:oMath>
      <w:r>
        <w:t xml:space="preserve"> </w:t>
      </w:r>
      <w:r>
        <w:t xml:space="preserve">(</w:t>
      </w:r>
      <m:oMath>
        <m:r>
          <m:t>4</m:t>
        </m:r>
        <m:r>
          <m:rPr>
            <m:sty m:val="p"/>
          </m:rPr>
          <m:t>/</m:t>
        </m:r>
        <m:r>
          <m:t>8</m:t>
        </m:r>
      </m:oMath>
      <w:r>
        <w:t xml:space="preserve">), missing 4 suspicious lesions.</w:t>
      </w:r>
      <w:r>
        <w:t xml:space="preserve"> </w:t>
      </w:r>
      <w:r>
        <w:t xml:space="preserve">-</w:t>
      </w:r>
      <w:r>
        <w:t xml:space="preserve"> </w:t>
      </w:r>
      <w:r>
        <w:rPr>
          <w:bCs/>
          <w:b/>
        </w:rPr>
        <w:t xml:space="preserve">D5 (Conservative LR</w:t>
      </w:r>
      <w:r>
        <w:rPr>
          <w:bCs/>
          <w:b/>
        </w:rPr>
        <w:t xml:space="preserve"> </w:t>
      </w:r>
      <m:oMath>
        <m:r>
          <m:rPr>
            <m:nor/>
            <m:sty m:val="p"/>
          </m:rPr>
          <m:t>lr</m:t>
        </m:r>
        <m:r>
          <m:rPr>
            <m:sty m:val="p"/>
          </m:rPr>
          <m:t>=</m:t>
        </m:r>
        <m:r>
          <m:t>5</m:t>
        </m:r>
        <m:r>
          <m:rPr>
            <m:sty m:val="p"/>
          </m:rPr>
          <m:t>×</m:t>
        </m:r>
        <m:sSup>
          <m:e>
            <m:r>
              <m:t>10</m:t>
            </m:r>
          </m:e>
          <m:sup>
            <m:r>
              <m:rPr>
                <m:sty m:val="p"/>
              </m:rPr>
              <m:t>−</m:t>
            </m:r>
            <m:r>
              <m:t>5</m:t>
            </m:r>
          </m:sup>
        </m:sSup>
      </m:oMath>
      <w:r>
        <w:rPr>
          <w:bCs/>
          <w:b/>
        </w:rPr>
        <w:t xml:space="preserve">):</w:t>
      </w:r>
      <w:r>
        <w:t xml:space="preserve"> </w:t>
      </w:r>
      <m:oMath>
        <m:r>
          <m:t>S</m:t>
        </m:r>
        <m:r>
          <m:rPr>
            <m:sty m:val="p"/>
          </m:rPr>
          <m:t>=</m:t>
        </m:r>
        <m:r>
          <m:t>0.8468</m:t>
        </m:r>
      </m:oMath>
      <w:r>
        <w:t xml:space="preserve"> </w:t>
      </w:r>
      <w:r>
        <w:t xml:space="preserve">(</w:t>
      </w:r>
      <m:oMath>
        <m:r>
          <m:rPr>
            <m:sty m:val="p"/>
          </m:rPr>
          <m:t>+</m:t>
        </m:r>
        <m:r>
          <m:t>0.0117</m:t>
        </m:r>
      </m:oMath>
      <w:r>
        <w:t xml:space="preserve"> </w:t>
      </w:r>
      <w:r>
        <w:t xml:space="preserve">over C3). Sensitivity increased to</w:t>
      </w:r>
      <w:r>
        <w:t xml:space="preserve"> </w:t>
      </w:r>
      <m:oMath>
        <m:r>
          <m:t>87.50</m:t>
        </m:r>
        <m:r>
          <m:rPr>
            <m:sty m:val="p"/>
          </m:rPr>
          <m:t>%</m:t>
        </m:r>
      </m:oMath>
      <w:r>
        <w:t xml:space="preserve"> </w:t>
      </w:r>
      <w:r>
        <w:t xml:space="preserve">(</w:t>
      </w:r>
      <m:oMath>
        <m:r>
          <m:t>7</m:t>
        </m:r>
        <m:r>
          <m:rPr>
            <m:sty m:val="p"/>
          </m:rPr>
          <m:t>/</m:t>
        </m:r>
        <m:r>
          <m:t>8</m:t>
        </m:r>
      </m:oMath>
      <w:r>
        <w:t xml:space="preserve">,</w:t>
      </w:r>
      <w:r>
        <w:t xml:space="preserve"> </w:t>
      </w:r>
      <m:oMath>
        <m:r>
          <m:rPr>
            <m:sty m:val="p"/>
          </m:rPr>
          <m:t>+</m:t>
        </m:r>
        <m:r>
          <m:t>1</m:t>
        </m:r>
      </m:oMath>
      <w:r>
        <w:t xml:space="preserve"> </w:t>
      </w:r>
      <w:r>
        <w:t xml:space="preserve">actionable case identified: Validation True-Positive Case V1, BI-RADS 6,</w:t>
      </w:r>
      <w:r>
        <w:t xml:space="preserve"> </w:t>
      </w:r>
      <m:oMath>
        <m:r>
          <m:t>p</m:t>
        </m:r>
        <m:r>
          <m:rPr>
            <m:sty m:val="p"/>
          </m:rPr>
          <m:t>=</m:t>
        </m:r>
        <m:r>
          <m:t>0.5034</m:t>
        </m:r>
      </m:oMath>
      <w:r>
        <w:t xml:space="preserve">), specificity maintained at</w:t>
      </w:r>
      <w:r>
        <w:t xml:space="preserve"> </w:t>
      </w:r>
      <m:oMath>
        <m:r>
          <m:t>92.50</m:t>
        </m:r>
        <m:r>
          <m:rPr>
            <m:sty m:val="p"/>
          </m:rPr>
          <m:t>%</m:t>
        </m:r>
      </m:oMath>
      <w:r>
        <w:t xml:space="preserve"> </w:t>
      </w:r>
      <w:r>
        <w:t xml:space="preserve">(</w:t>
      </w:r>
      <m:oMath>
        <m:r>
          <m:t>37</m:t>
        </m:r>
        <m:r>
          <m:rPr>
            <m:sty m:val="p"/>
          </m:rPr>
          <m:t>/</m:t>
        </m:r>
        <m:r>
          <m:t>40</m:t>
        </m:r>
      </m:oMath>
      <w:r>
        <w:t xml:space="preserve">), F1 reached</w:t>
      </w:r>
      <w:r>
        <w:t xml:space="preserve"> </w:t>
      </w:r>
      <m:oMath>
        <m:r>
          <m:t>0.7778</m:t>
        </m:r>
      </m:oMath>
      <w:r>
        <w:t xml:space="preserve">, and validation loss reached an optimal low of</w:t>
      </w:r>
      <w:r>
        <w:t xml:space="preserve"> </w:t>
      </w:r>
      <m:oMath>
        <m:r>
          <m:t>0.1390</m:t>
        </m:r>
      </m:oMath>
      <w:r>
        <w:t xml:space="preserve">.</w:t>
      </w:r>
    </w:p>
    <w:p>
      <w:pPr>
        <w:pStyle w:val="BodyText"/>
      </w:pPr>
      <w:r>
        <w:t xml:space="preserve">Candidate</w:t>
      </w:r>
      <w:r>
        <w:t xml:space="preserve"> </w:t>
      </w:r>
      <w:r>
        <w:rPr>
          <w:bCs/>
          <w:b/>
        </w:rPr>
        <w:t xml:space="preserve">D5</w:t>
      </w:r>
      <w:r>
        <w:t xml:space="preserve"> </w:t>
      </w:r>
      <w:r>
        <w:t xml:space="preserve">was selected as the leading Phase D candidate strictly on validation merit.</w:t>
      </w:r>
    </w:p>
    <w:bookmarkEnd w:id="46"/>
    <w:bookmarkStart w:id="47" w:name="phase-d6-multi-seed-stability-testing"/>
    <w:p>
      <w:pPr>
        <w:pStyle w:val="Heading3"/>
      </w:pPr>
      <w:r>
        <w:t xml:space="preserve">6.4 Phase D6: Multi-Seed Stability Testing</w:t>
      </w:r>
    </w:p>
    <w:p>
      <w:pPr>
        <w:pStyle w:val="FirstParagraph"/>
      </w:pPr>
      <w:r>
        <w:t xml:space="preserve">To ensure results were not random-seed artifacts, C3 and D5 were evaluated across three predetermined seeds (</w:t>
      </w:r>
      <w:r>
        <w:rPr>
          <w:rStyle w:val="VerbatimChar"/>
        </w:rPr>
        <w:t xml:space="preserve">42</w:t>
      </w:r>
      <w:r>
        <w:t xml:space="preserve">,</w:t>
      </w:r>
      <w:r>
        <w:t xml:space="preserve"> </w:t>
      </w:r>
      <w:r>
        <w:rPr>
          <w:rStyle w:val="VerbatimChar"/>
        </w:rPr>
        <w:t xml:space="preserve">123</w:t>
      </w:r>
      <w:r>
        <w:t xml:space="preserve">,</w:t>
      </w:r>
      <w:r>
        <w:t xml:space="preserve"> </w:t>
      </w:r>
      <w:r>
        <w:rPr>
          <w:rStyle w:val="VerbatimChar"/>
        </w:rPr>
        <w:t xml:space="preserve">456</w:t>
      </w:r>
      <w:r>
        <w:t xml:space="preserve">) on validation data (</w:t>
      </w:r>
      <m:oMath>
        <m:r>
          <m:t>N</m:t>
        </m:r>
        <m:r>
          <m:rPr>
            <m:sty m:val="p"/>
          </m:rPr>
          <m:t>=</m:t>
        </m:r>
        <m:r>
          <m:t>48</m:t>
        </m:r>
      </m:oMath>
      <w:r>
        <w:t xml:space="preserve">):</w:t>
      </w:r>
      <w:r>
        <w:t xml:space="preserve"> </w:t>
      </w:r>
      <w:r>
        <w:t xml:space="preserve">-</w:t>
      </w:r>
      <w:r>
        <w:t xml:space="preserve"> </w:t>
      </w:r>
      <w:r>
        <w:rPr>
          <w:bCs/>
          <w:b/>
        </w:rPr>
        <w:t xml:space="preserve">Sensitivity:</w:t>
      </w:r>
      <w:r>
        <w:t xml:space="preserve"> </w:t>
      </w:r>
      <w:r>
        <w:t xml:space="preserve">D5 achieved</w:t>
      </w:r>
      <w:r>
        <w:t xml:space="preserve"> </w:t>
      </w:r>
      <m:oMath>
        <m:r>
          <m:t>83.33</m:t>
        </m:r>
        <m:r>
          <m:rPr>
            <m:sty m:val="p"/>
          </m:rPr>
          <m:t>%</m:t>
        </m:r>
        <m:r>
          <m:rPr>
            <m:sty m:val="p"/>
          </m:rPr>
          <m:t>±</m:t>
        </m:r>
        <m:r>
          <m:t>7.22</m:t>
        </m:r>
        <m:r>
          <m:rPr>
            <m:sty m:val="p"/>
          </m:rPr>
          <m:t>%</m:t>
        </m:r>
      </m:oMath>
      <w:r>
        <w:t xml:space="preserve"> </w:t>
      </w:r>
      <w:r>
        <w:t xml:space="preserve">vs. C3’s</w:t>
      </w:r>
      <w:r>
        <w:t xml:space="preserve"> </w:t>
      </w:r>
      <m:oMath>
        <m:r>
          <m:t>75.00</m:t>
        </m:r>
        <m:r>
          <m:rPr>
            <m:sty m:val="p"/>
          </m:rPr>
          <m:t>%</m:t>
        </m:r>
        <m:r>
          <m:rPr>
            <m:sty m:val="p"/>
          </m:rPr>
          <m:t>±</m:t>
        </m:r>
        <m:r>
          <m:t>12.50</m:t>
        </m:r>
        <m:r>
          <m:rPr>
            <m:sty m:val="p"/>
          </m:rPr>
          <m:t>%</m:t>
        </m:r>
      </m:oMath>
      <w:r>
        <w:t xml:space="preserve"> </w:t>
      </w:r>
      <w:r>
        <w:t xml:space="preserve">(lower cross-seed variance).</w:t>
      </w:r>
      <w:r>
        <w:t xml:space="preserve"> </w:t>
      </w:r>
      <w:r>
        <w:t xml:space="preserve">-</w:t>
      </w:r>
      <w:r>
        <w:t xml:space="preserve"> </w:t>
      </w:r>
      <w:r>
        <w:rPr>
          <w:bCs/>
          <w:b/>
        </w:rPr>
        <w:t xml:space="preserve">Specificity:</w:t>
      </w:r>
      <w:r>
        <w:t xml:space="preserve"> </w:t>
      </w:r>
      <w:r>
        <w:t xml:space="preserve">D5 achieved</w:t>
      </w:r>
      <w:r>
        <w:t xml:space="preserve"> </w:t>
      </w:r>
      <m:oMath>
        <m:r>
          <m:t>91.67</m:t>
        </m:r>
        <m:r>
          <m:rPr>
            <m:sty m:val="p"/>
          </m:rPr>
          <m:t>%</m:t>
        </m:r>
        <m:r>
          <m:rPr>
            <m:sty m:val="p"/>
          </m:rPr>
          <m:t>±</m:t>
        </m:r>
        <m:r>
          <m:t>1.44</m:t>
        </m:r>
        <m:r>
          <m:rPr>
            <m:sty m:val="p"/>
          </m:rPr>
          <m:t>%</m:t>
        </m:r>
      </m:oMath>
      <w:r>
        <w:t xml:space="preserve"> </w:t>
      </w:r>
      <w:r>
        <w:t xml:space="preserve">vs. C3’s</w:t>
      </w:r>
      <w:r>
        <w:t xml:space="preserve"> </w:t>
      </w:r>
      <m:oMath>
        <m:r>
          <m:t>92.50</m:t>
        </m:r>
        <m:r>
          <m:rPr>
            <m:sty m:val="p"/>
          </m:rPr>
          <m:t>%</m:t>
        </m:r>
        <m:r>
          <m:rPr>
            <m:sty m:val="p"/>
          </m:rPr>
          <m:t>±</m:t>
        </m:r>
        <m:r>
          <m:t>5.00</m:t>
        </m:r>
        <m:r>
          <m:rPr>
            <m:sty m:val="p"/>
          </m:rPr>
          <m:t>%</m:t>
        </m:r>
      </m:oMath>
      <w:r>
        <w:t xml:space="preserve"> </w:t>
      </w:r>
      <w:r>
        <w:t xml:space="preserve">(</w:t>
      </w:r>
      <m:oMath>
        <m:r>
          <m:t>3</m:t>
        </m:r>
        <m:r>
          <m:rPr>
            <m:sty m:val="p"/>
          </m:rPr>
          <m:t>×</m:t>
        </m:r>
      </m:oMath>
      <w:r>
        <w:t xml:space="preserve"> </w:t>
      </w:r>
      <w:r>
        <w:t xml:space="preserve">lower variance).</w:t>
      </w:r>
      <w:r>
        <w:t xml:space="preserve"> </w:t>
      </w:r>
      <w:r>
        <w:t xml:space="preserve">-</w:t>
      </w:r>
      <w:r>
        <w:t xml:space="preserve"> </w:t>
      </w:r>
      <w:r>
        <w:rPr>
          <w:bCs/>
          <w:b/>
        </w:rPr>
        <w:t xml:space="preserve">Validation Loss:</w:t>
      </w:r>
      <w:r>
        <w:t xml:space="preserve"> </w:t>
      </w:r>
      <w:r>
        <w:t xml:space="preserve">D5 achieved</w:t>
      </w:r>
      <w:r>
        <w:t xml:space="preserve"> </w:t>
      </w:r>
      <m:oMath>
        <m:r>
          <m:t>0.1530</m:t>
        </m:r>
        <m:r>
          <m:rPr>
            <m:sty m:val="p"/>
          </m:rPr>
          <m:t>±</m:t>
        </m:r>
        <m:r>
          <m:t>0.0131</m:t>
        </m:r>
      </m:oMath>
      <w:r>
        <w:t xml:space="preserve"> </w:t>
      </w:r>
      <w:r>
        <w:t xml:space="preserve">vs. C3’s</w:t>
      </w:r>
      <w:r>
        <w:t xml:space="preserve"> </w:t>
      </w:r>
      <m:oMath>
        <m:r>
          <m:t>0.1813</m:t>
        </m:r>
        <m:r>
          <m:rPr>
            <m:sty m:val="p"/>
          </m:rPr>
          <m:t>±</m:t>
        </m:r>
        <m:r>
          <m:t>0.0553</m:t>
        </m:r>
      </m:oMath>
      <w:r>
        <w:t xml:space="preserve"> </w:t>
      </w:r>
      <w:r>
        <w:t xml:space="preserve">(</w:t>
      </w:r>
      <m:oMath>
        <m:r>
          <m:t>4</m:t>
        </m:r>
        <m:r>
          <m:rPr>
            <m:sty m:val="p"/>
          </m:rPr>
          <m:t>×</m:t>
        </m:r>
      </m:oMath>
      <w:r>
        <w:t xml:space="preserve"> </w:t>
      </w:r>
      <w:r>
        <w:t xml:space="preserve">tighter stability).</w:t>
      </w:r>
      <w:r>
        <w:t xml:space="preserve"> </w:t>
      </w:r>
      <w:r>
        <w:t xml:space="preserve">-</w:t>
      </w:r>
      <w:r>
        <w:t xml:space="preserve"> </w:t>
      </w:r>
      <w:r>
        <w:rPr>
          <w:bCs/>
          <w:b/>
        </w:rPr>
        <w:t xml:space="preserve">Composite Score:</w:t>
      </w:r>
      <w:r>
        <w:t xml:space="preserve"> </w:t>
      </w:r>
      <w:r>
        <w:t xml:space="preserve">Virtually tied:</w:t>
      </w:r>
      <w:r>
        <w:t xml:space="preserve"> </w:t>
      </w:r>
      <m:oMath>
        <m:r>
          <m:t>0.8532</m:t>
        </m:r>
        <m:r>
          <m:rPr>
            <m:sty m:val="p"/>
          </m:rPr>
          <m:t>±</m:t>
        </m:r>
        <m:r>
          <m:t>0.0200</m:t>
        </m:r>
      </m:oMath>
      <w:r>
        <w:t xml:space="preserve"> </w:t>
      </w:r>
      <w:r>
        <w:t xml:space="preserve">for D5 vs. </w:t>
      </w:r>
      <m:oMath>
        <m:r>
          <m:t>0.8527</m:t>
        </m:r>
        <m:r>
          <m:rPr>
            <m:sty m:val="p"/>
          </m:rPr>
          <m:t>±</m:t>
        </m:r>
        <m:r>
          <m:t>0.0224</m:t>
        </m:r>
      </m:oMath>
      <w:r>
        <w:t xml:space="preserve"> </w:t>
      </w:r>
      <w:r>
        <w:t xml:space="preserve">for C3.</w:t>
      </w:r>
    </w:p>
    <w:bookmarkEnd w:id="47"/>
    <w:bookmarkStart w:id="50" w:name="Xf68252c505697788d41af0f9fa280ef656b2aa7"/>
    <w:p>
      <w:pPr>
        <w:pStyle w:val="Heading3"/>
      </w:pPr>
      <w:r>
        <w:t xml:space="preserve">6.5 Phase D7: Threshold Operating Point &amp; Calibration Dynamics</w:t>
      </w:r>
    </w:p>
    <w:p>
      <w:pPr>
        <w:pStyle w:val="FirstParagraph"/>
      </w:pPr>
      <w:r>
        <w:t xml:space="preserve">Phase D7 mapped operating points (</w:t>
      </w:r>
      <m:oMath>
        <m:r>
          <m:t>τ</m:t>
        </m:r>
        <m:r>
          <m:rPr>
            <m:sty m:val="p"/>
          </m:rPr>
          <m:t>∈</m:t>
        </m:r>
        <m:r>
          <m:rPr>
            <m:sty m:val="p"/>
          </m:rPr>
          <m:t>[</m:t>
        </m:r>
        <m:r>
          <m:t>0.30</m:t>
        </m:r>
        <m:r>
          <m:rPr>
            <m:sty m:val="p"/>
          </m:rPr>
          <m:t>,</m:t>
        </m:r>
        <m:r>
          <m:t>0.70</m:t>
        </m:r>
        <m:r>
          <m:rPr>
            <m:sty m:val="p"/>
          </m:rPr>
          <m:t>]</m:t>
        </m:r>
      </m:oMath>
      <w:r>
        <w:t xml:space="preserve">) across seeds on validation data:</w:t>
      </w:r>
      <w:r>
        <w:t xml:space="preserve"> </w:t>
      </w:r>
      <w:r>
        <w:t xml:space="preserve">-</w:t>
      </w:r>
      <w:r>
        <w:t xml:space="preserve"> </w:t>
      </w:r>
      <w:r>
        <w:rPr>
          <w:bCs/>
          <w:b/>
        </w:rPr>
        <w:t xml:space="preserve">Asymmetric Penalty at Lower Thresholds:</w:t>
      </w:r>
      <w:r>
        <w:t xml:space="preserve"> </w:t>
      </w:r>
      <w:r>
        <w:t xml:space="preserve">Lowering</w:t>
      </w:r>
      <w:r>
        <w:t xml:space="preserve"> </w:t>
      </w:r>
      <m:oMath>
        <m:r>
          <m:t>τ</m:t>
        </m:r>
      </m:oMath>
      <w:r>
        <w:t xml:space="preserve"> </w:t>
      </w:r>
      <w:r>
        <w:t xml:space="preserve">to</w:t>
      </w:r>
      <w:r>
        <w:t xml:space="preserve"> </w:t>
      </w:r>
      <m:oMath>
        <m:r>
          <m:t>0.45</m:t>
        </m:r>
      </m:oMath>
      <w:r>
        <w:t xml:space="preserve"> </w:t>
      </w:r>
      <w:r>
        <w:t xml:space="preserve">increased D5 sensitivity to</w:t>
      </w:r>
      <w:r>
        <w:t xml:space="preserve"> </w:t>
      </w:r>
      <m:oMath>
        <m:r>
          <m:t>91.67</m:t>
        </m:r>
        <m:r>
          <m:rPr>
            <m:sty m:val="p"/>
          </m:rPr>
          <m:t>%</m:t>
        </m:r>
      </m:oMath>
      <w:r>
        <w:t xml:space="preserve"> </w:t>
      </w:r>
      <w:r>
        <w:t xml:space="preserve">(+0.67 patients), but caused specificity to crash by</w:t>
      </w:r>
      <w:r>
        <w:t xml:space="preserve"> </w:t>
      </w:r>
      <m:oMath>
        <m:r>
          <m:rPr>
            <m:sty m:val="p"/>
          </m:rPr>
          <m:t>−</m:t>
        </m:r>
        <m:r>
          <m:t>17.50</m:t>
        </m:r>
        <m:r>
          <m:rPr>
            <m:sty m:val="p"/>
          </m:rPr>
          <m:t>%</m:t>
        </m:r>
      </m:oMath>
      <w:r>
        <w:t xml:space="preserve"> </w:t>
      </w:r>
      <w:r>
        <w:t xml:space="preserve">(</w:t>
      </w:r>
      <m:oMath>
        <m:r>
          <m:t>74.17</m:t>
        </m:r>
        <m:r>
          <m:rPr>
            <m:sty m:val="p"/>
          </m:rPr>
          <m:t>%</m:t>
        </m:r>
      </m:oMath>
      <w:r>
        <w:t xml:space="preserve">, incurring 7 additional false alarms). The exchange ratio was</w:t>
      </w:r>
      <w:r>
        <w:t xml:space="preserve"> </w:t>
      </w:r>
      <w:r>
        <w:rPr>
          <w:bCs/>
          <w:b/>
        </w:rPr>
        <w:t xml:space="preserve">over 10 false alarms for every 1 additional suspicious case triaged</w:t>
      </w:r>
      <w:r>
        <w:t xml:space="preserve">.</w:t>
      </w:r>
      <w:r>
        <w:t xml:space="preserve"> </w:t>
      </w:r>
      <w:r>
        <w:t xml:space="preserve">-</w:t>
      </w:r>
      <w:r>
        <w:t xml:space="preserve"> </w:t>
      </w:r>
      <w:r>
        <w:rPr>
          <w:bCs/>
          <w:b/>
        </w:rPr>
        <w:t xml:space="preserve">Severe Penalty at Higher Thresholds:</w:t>
      </w:r>
      <w:r>
        <w:t xml:space="preserve"> </w:t>
      </w:r>
      <w:r>
        <w:t xml:space="preserve">Raising</w:t>
      </w:r>
      <w:r>
        <w:t xml:space="preserve"> </w:t>
      </w:r>
      <m:oMath>
        <m:r>
          <m:t>τ</m:t>
        </m:r>
      </m:oMath>
      <w:r>
        <w:t xml:space="preserve"> </w:t>
      </w:r>
      <w:r>
        <w:t xml:space="preserve">to</w:t>
      </w:r>
      <w:r>
        <w:t xml:space="preserve"> </w:t>
      </w:r>
      <m:oMath>
        <m:r>
          <m:t>0.55</m:t>
        </m:r>
      </m:oMath>
      <w:r>
        <w:t xml:space="preserve"> </w:t>
      </w:r>
      <w:r>
        <w:t xml:space="preserve">caused sensitivity to halve to</w:t>
      </w:r>
      <w:r>
        <w:t xml:space="preserve"> </w:t>
      </w:r>
      <m:oMath>
        <m:r>
          <m:t>50.00</m:t>
        </m:r>
        <m:r>
          <m:rPr>
            <m:sty m:val="p"/>
          </m:rPr>
          <m:t>%</m:t>
        </m:r>
      </m:oMath>
      <w:r>
        <w:t xml:space="preserve">.</w:t>
      </w:r>
      <w:r>
        <w:t xml:space="preserve"> </w:t>
      </w:r>
      <w:r>
        <w:t xml:space="preserve">-</w:t>
      </w:r>
      <w:r>
        <w:t xml:space="preserve"> </w:t>
      </w:r>
      <w:r>
        <w:rPr>
          <w:bCs/>
          <w:b/>
        </w:rPr>
        <w:t xml:space="preserve">Selection Rule Outcome:</w:t>
      </w:r>
      <w:r>
        <w:t xml:space="preserve"> </w:t>
      </w:r>
      <w:r>
        <w:t xml:space="preserve">Under three independent selection rules (canonical reference, specificity constrained</w:t>
      </w:r>
      <w:r>
        <w:t xml:space="preserve"> </w:t>
      </w:r>
      <m:oMath>
        <m:r>
          <m:rPr>
            <m:sty m:val="p"/>
          </m:rPr>
          <m:t>≥</m:t>
        </m:r>
        <m:r>
          <m:t>90</m:t>
        </m:r>
        <m:r>
          <m:rPr>
            <m:sty m:val="p"/>
          </m:rPr>
          <m:t>%</m:t>
        </m:r>
      </m:oMath>
      <w:r>
        <w:t xml:space="preserve">, and Youden index maximization),</w:t>
      </w:r>
      <w:r>
        <w:t xml:space="preserve"> </w:t>
      </w:r>
      <m:oMath>
        <m:r>
          <m:t>τ</m:t>
        </m:r>
        <m:r>
          <m:rPr>
            <m:sty m:val="p"/>
          </m:rPr>
          <m:t>=</m:t>
        </m:r>
        <m:r>
          <m:t>0.50</m:t>
        </m:r>
      </m:oMath>
      <w:r>
        <w:rPr>
          <w:bCs/>
          <w:b/>
        </w:rPr>
        <w:t xml:space="preserve"> </w:t>
      </w:r>
      <w:r>
        <w:rPr>
          <w:bCs/>
          <w:b/>
        </w:rPr>
        <w:t xml:space="preserve">uniquely emerged as the optimal operating threshold</w:t>
      </w:r>
      <w:r>
        <w:t xml:space="preserve">.</w:t>
      </w:r>
    </w:p>
    <w:p>
      <w:pPr>
        <w:pStyle w:val="BodyText"/>
      </w:pPr>
      <w:r>
        <w:t xml:space="preserve">Threshold curves and reliability diagrams from Phase D7 are shown in</w:t>
      </w:r>
      <w:r>
        <w:t xml:space="preserve"> </w:t>
      </w:r>
      <w:r>
        <w:rPr>
          <w:bCs/>
          <w:b/>
        </w:rPr>
        <w:t xml:space="preserve">Figures 3 and 4</w:t>
      </w:r>
      <w:r>
        <w:t xml:space="preserve">:</w:t>
      </w:r>
    </w:p>
    <w:p>
      <w:pPr>
        <w:pStyle w:val="BodyText"/>
      </w:pPr>
      <w:r>
        <w:drawing>
          <wp:inline>
            <wp:extent cx="5334000" cy="4000499"/>
            <wp:effectExtent b="0" l="0" r="0" t="0"/>
            <wp:docPr descr="Threshold Tradeoff" title="" id="1" name="Picture"/>
            <a:graphic>
              <a:graphicData uri="http://schemas.openxmlformats.org/drawingml/2006/picture">
                <pic:pic>
                  <pic:nvPicPr>
                    <pic:cNvPr descr="figures/threshold_sensitivity_specificity_tradeoff.png" id="0" name="Picture"/>
                    <pic:cNvPicPr>
                      <a:picLocks noChangeArrowheads="1" noChangeAspect="1"/>
                    </pic:cNvPicPr>
                  </pic:nvPicPr>
                  <pic:blipFill>
                    <a:blip r:embed="rId48"/>
                    <a:stretch>
                      <a:fillRect/>
                    </a:stretch>
                  </pic:blipFill>
                  <pic:spPr bwMode="auto">
                    <a:xfrm>
                      <a:off x="0" y="0"/>
                      <a:ext cx="5334000" cy="4000499"/>
                    </a:xfrm>
                    <a:prstGeom prst="rect">
                      <a:avLst/>
                    </a:prstGeom>
                    <a:noFill/>
                    <a:ln w="9525">
                      <a:noFill/>
                      <a:headEnd/>
                      <a:tailEnd/>
                    </a:ln>
                  </pic:spPr>
                </pic:pic>
              </a:graphicData>
            </a:graphic>
          </wp:inline>
        </w:drawing>
      </w:r>
      <w:r>
        <w:t xml:space="preserve"> </w:t>
      </w:r>
      <w:r>
        <w:rPr>
          <w:iCs/>
          <w:i/>
        </w:rPr>
        <w:t xml:space="preserve">Figure 3: Validation Sensitivity-Specificity Trade-Off Across Threshold Grid (</w:t>
      </w:r>
      <m:oMath>
        <m:r>
          <m:t>τ</m:t>
        </m:r>
        <m:r>
          <m:rPr>
            <m:sty m:val="p"/>
          </m:rPr>
          <m:t>∈</m:t>
        </m:r>
        <m:r>
          <m:rPr>
            <m:sty m:val="p"/>
          </m:rPr>
          <m:t>[</m:t>
        </m:r>
        <m:r>
          <m:t>0.30</m:t>
        </m:r>
        <m:r>
          <m:rPr>
            <m:sty m:val="p"/>
          </m:rPr>
          <m:t>,</m:t>
        </m:r>
        <m:r>
          <m:t>0.70</m:t>
        </m:r>
        <m:r>
          <m:rPr>
            <m:sty m:val="p"/>
          </m:rPr>
          <m:t>]</m:t>
        </m:r>
      </m:oMath>
      <w:r>
        <w:rPr>
          <w:iCs/>
          <w:i/>
        </w:rPr>
        <w:t xml:space="preserve">).</w:t>
      </w:r>
    </w:p>
    <w:p>
      <w:pPr>
        <w:pStyle w:val="BodyText"/>
      </w:pPr>
      <w:r>
        <w:drawing>
          <wp:inline>
            <wp:extent cx="5334000" cy="2256692"/>
            <wp:effectExtent b="0" l="0" r="0" t="0"/>
            <wp:docPr descr="Reliability Diagram Validation" title="" id="1" name="Picture"/>
            <a:graphic>
              <a:graphicData uri="http://schemas.openxmlformats.org/drawingml/2006/picture">
                <pic:pic>
                  <pic:nvPicPr>
                    <pic:cNvPr descr="figures/reliability_diagram_c3_vs_d5.png" id="0" name="Picture"/>
                    <pic:cNvPicPr>
                      <a:picLocks noChangeArrowheads="1" noChangeAspect="1"/>
                    </pic:cNvPicPr>
                  </pic:nvPicPr>
                  <pic:blipFill>
                    <a:blip r:embed="rId49"/>
                    <a:stretch>
                      <a:fillRect/>
                    </a:stretch>
                  </pic:blipFill>
                  <pic:spPr bwMode="auto">
                    <a:xfrm>
                      <a:off x="0" y="0"/>
                      <a:ext cx="5334000" cy="2256692"/>
                    </a:xfrm>
                    <a:prstGeom prst="rect">
                      <a:avLst/>
                    </a:prstGeom>
                    <a:noFill/>
                    <a:ln w="9525">
                      <a:noFill/>
                      <a:headEnd/>
                      <a:tailEnd/>
                    </a:ln>
                  </pic:spPr>
                </pic:pic>
              </a:graphicData>
            </a:graphic>
          </wp:inline>
        </w:drawing>
      </w:r>
      <w:r>
        <w:t xml:space="preserve"> </w:t>
      </w:r>
      <w:r>
        <w:rPr>
          <w:iCs/>
          <w:i/>
        </w:rPr>
        <w:t xml:space="preserve">Figure 4: Validation Reliability Diagram and Probability Calibration for C3 vs. D5.</w:t>
      </w:r>
    </w:p>
    <w:p>
      <w:r>
        <w:pict>
          <v:rect style="width:0;height:1.5pt" o:hralign="center" o:hrstd="t" o:hr="t"/>
        </w:pict>
      </w:r>
    </w:p>
    <w:bookmarkEnd w:id="50"/>
    <w:bookmarkEnd w:id="51"/>
    <w:bookmarkStart w:id="61" w:name="X43809baed31561069d79cd6c9115abda6d84ec8"/>
    <w:p>
      <w:pPr>
        <w:pStyle w:val="Heading2"/>
      </w:pPr>
      <w:r>
        <w:t xml:space="preserve">7. Locked Held-Out Test Evaluation: C3 vs. D5</w:t>
      </w:r>
    </w:p>
    <w:p>
      <w:pPr>
        <w:pStyle w:val="FirstParagraph"/>
      </w:pPr>
      <w:r>
        <w:t xml:space="preserve">Following the pre-evaluation audit (</w:t>
      </w:r>
      <w:hyperlink r:id="rId52">
        <w:r>
          <w:rPr>
            <w:rStyle w:val="VerbatimChar"/>
          </w:rPr>
          <w:t xml:space="preserve">pre_evaluation_integrity_report.md</w:t>
        </w:r>
      </w:hyperlink>
      <w:r>
        <w:t xml:space="preserve">), the 47-patient test cohort was unblinded once.</w:t>
      </w:r>
    </w:p>
    <w:bookmarkStart w:id="57" w:name="quantitative-classification-performance"/>
    <w:p>
      <w:pPr>
        <w:pStyle w:val="Heading3"/>
      </w:pPr>
      <w:r>
        <w:t xml:space="preserve">7.1 Quantitative Classification Performance</w:t>
      </w:r>
    </w:p>
    <w:p>
      <w:pPr>
        <w:pStyle w:val="FirstParagraph"/>
      </w:pPr>
      <w:r>
        <w:t xml:space="preserve">Table 1 presents the complete performance record at primary threshold</w:t>
      </w:r>
      <w:r>
        <w:t xml:space="preserve"> </w:t>
      </w:r>
      <m:oMath>
        <m:r>
          <m:t>τ</m:t>
        </m:r>
        <m:r>
          <m:rPr>
            <m:sty m:val="p"/>
          </m:rPr>
          <m:t>=</m:t>
        </m:r>
        <m:r>
          <m:t>0.50</m:t>
        </m:r>
      </m:oMath>
      <w:r>
        <w:t xml:space="preserve">:</w:t>
      </w:r>
    </w:p>
    <w:tbl>
      <w:tblPr>
        <w:tblStyle w:val="Table"/>
        <w:tblW w:type="pct" w:w="5000.0"/>
        <w:tblLook w:firstRow="1" w:lastRow="0" w:firstColumn="0" w:lastColumn="0" w:noHBand="0" w:noVBand="0" w:val="0020"/>
      </w:tblPr>
      <w:tblGrid>
        <w:gridCol w:w="1092"/>
        <w:gridCol w:w="1365"/>
        <w:gridCol w:w="1365"/>
        <w:gridCol w:w="1365"/>
        <w:gridCol w:w="1365"/>
        <w:gridCol w:w="1365"/>
      </w:tblGrid>
      <w:tr>
        <w:tc>
          <w:p>
            <w:pPr>
              <w:pStyle w:val="Compact"/>
              <w:jc w:val="left"/>
            </w:pPr>
            <w:r>
              <w:t xml:space="preserve">Evaluation Metric</w:t>
            </w:r>
          </w:p>
        </w:tc>
        <w:tc>
          <w:p>
            <w:pPr>
              <w:pStyle w:val="Compact"/>
              <w:jc w:val="center"/>
            </w:pPr>
            <w:r>
              <w:t xml:space="preserve">Frozen Benchmark C3</w:t>
            </w:r>
          </w:p>
        </w:tc>
        <w:tc>
          <w:p>
            <w:pPr>
              <w:pStyle w:val="Compact"/>
              <w:jc w:val="center"/>
            </w:pPr>
            <w:r>
              <w:t xml:space="preserve">Leading Candidate D5</w:t>
            </w:r>
          </w:p>
        </w:tc>
        <w:tc>
          <w:p>
            <w:pPr>
              <w:pStyle w:val="Compact"/>
              <w:jc w:val="center"/>
            </w:pPr>
            <w:r>
              <w:t xml:space="preserve">Delta (D5 - C3)</w:t>
            </w:r>
          </w:p>
        </w:tc>
        <w:tc>
          <w:p>
            <w:pPr>
              <w:pStyle w:val="Compact"/>
              <w:jc w:val="center"/>
            </w:pPr>
            <w:r>
              <w:t xml:space="preserve">Wilson Score 95% CI</w:t>
            </w:r>
          </w:p>
        </w:tc>
        <w:tc>
          <w:p>
            <w:pPr>
              <w:pStyle w:val="Compact"/>
              <w:jc w:val="center"/>
            </w:pPr>
            <w:r>
              <w:t xml:space="preserve">Clopper-Pearson Exact 95% CI</w:t>
            </w:r>
          </w:p>
        </w:tc>
      </w:tr>
      <w:tr>
        <w:tc>
          <w:p>
            <w:pPr>
              <w:pStyle w:val="Compact"/>
              <w:jc w:val="left"/>
            </w:pPr>
            <w:r>
              <w:rPr>
                <w:bCs/>
                <w:b/>
              </w:rPr>
              <w:t xml:space="preserve">True Negatives (TN)</w:t>
            </w:r>
          </w:p>
        </w:tc>
        <w:tc>
          <w:p>
            <w:pPr>
              <w:pStyle w:val="Compact"/>
              <w:jc w:val="center"/>
            </w:pPr>
            <w:r>
              <w:rPr>
                <w:bCs/>
                <w:b/>
              </w:rPr>
              <w:t xml:space="preserve">34</w:t>
            </w:r>
            <w:r>
              <w:t xml:space="preserve"> </w:t>
            </w:r>
            <w:r>
              <w:t xml:space="preserve">(</w:t>
            </w:r>
            <m:oMath>
              <m:r>
                <m:t>34</m:t>
              </m:r>
              <m:r>
                <m:rPr>
                  <m:sty m:val="p"/>
                </m:rPr>
                <m:t>/</m:t>
              </m:r>
              <m:r>
                <m:t>40</m:t>
              </m:r>
            </m:oMath>
            <w:r>
              <w:t xml:space="preserve">)</w:t>
            </w:r>
          </w:p>
        </w:tc>
        <w:tc>
          <w:p>
            <w:pPr>
              <w:pStyle w:val="Compact"/>
              <w:jc w:val="center"/>
            </w:pPr>
            <w:r>
              <w:rPr>
                <w:bCs/>
                <w:b/>
              </w:rPr>
              <w:t xml:space="preserve">32</w:t>
            </w:r>
            <w:r>
              <w:t xml:space="preserve"> </w:t>
            </w:r>
            <w:r>
              <w:t xml:space="preserve">(</w:t>
            </w:r>
            <m:oMath>
              <m:r>
                <m:t>32</m:t>
              </m:r>
              <m:r>
                <m:rPr>
                  <m:sty m:val="p"/>
                </m:rPr>
                <m:t>/</m:t>
              </m:r>
              <m:r>
                <m:t>40</m:t>
              </m:r>
            </m:oMath>
            <w:r>
              <w:t xml:space="preserve">)</w:t>
            </w:r>
          </w:p>
        </w:tc>
        <w:tc>
          <w:p>
            <w:pPr>
              <w:pStyle w:val="Compact"/>
              <w:jc w:val="center"/>
            </w:pPr>
            <m:oMath>
              <m:r>
                <m:rPr>
                  <m:sty m:val="p"/>
                </m:rPr>
                <m:t>−</m:t>
              </m:r>
              <m:r>
                <m:t>2</m:t>
              </m:r>
            </m:oMath>
          </w:p>
        </w:tc>
        <w:tc>
          <w:p>
            <w:pPr>
              <w:pStyle w:val="Compact"/>
              <w:jc w:val="center"/>
            </w:pPr>
            <w:r>
              <w:t xml:space="preserve">—</w:t>
            </w:r>
          </w:p>
        </w:tc>
        <w:tc>
          <w:p>
            <w:pPr>
              <w:pStyle w:val="Compact"/>
              <w:jc w:val="center"/>
            </w:pPr>
            <w:r>
              <w:t xml:space="preserve">—</w:t>
            </w:r>
          </w:p>
        </w:tc>
      </w:tr>
      <w:tr>
        <w:tc>
          <w:p>
            <w:pPr>
              <w:pStyle w:val="Compact"/>
              <w:jc w:val="left"/>
            </w:pPr>
            <w:r>
              <w:rPr>
                <w:bCs/>
                <w:b/>
              </w:rPr>
              <w:t xml:space="preserve">False Positives (FP)</w:t>
            </w:r>
          </w:p>
        </w:tc>
        <w:tc>
          <w:p>
            <w:pPr>
              <w:pStyle w:val="Compact"/>
              <w:jc w:val="center"/>
            </w:pPr>
            <w:r>
              <w:rPr>
                <w:bCs/>
                <w:b/>
              </w:rPr>
              <w:t xml:space="preserve">6</w:t>
            </w:r>
            <w:r>
              <w:t xml:space="preserve"> </w:t>
            </w:r>
            <w:r>
              <w:t xml:space="preserve">(</w:t>
            </w:r>
            <m:oMath>
              <m:r>
                <m:t>6</m:t>
              </m:r>
              <m:r>
                <m:rPr>
                  <m:sty m:val="p"/>
                </m:rPr>
                <m:t>/</m:t>
              </m:r>
              <m:r>
                <m:t>40</m:t>
              </m:r>
            </m:oMath>
            <w:r>
              <w:t xml:space="preserve">)</w:t>
            </w:r>
          </w:p>
        </w:tc>
        <w:tc>
          <w:p>
            <w:pPr>
              <w:pStyle w:val="Compact"/>
              <w:jc w:val="center"/>
            </w:pPr>
            <w:r>
              <w:rPr>
                <w:bCs/>
                <w:b/>
              </w:rPr>
              <w:t xml:space="preserve">8</w:t>
            </w:r>
            <w:r>
              <w:t xml:space="preserve"> </w:t>
            </w:r>
            <w:r>
              <w:t xml:space="preserve">(</w:t>
            </w:r>
            <m:oMath>
              <m:r>
                <m:t>8</m:t>
              </m:r>
              <m:r>
                <m:rPr>
                  <m:sty m:val="p"/>
                </m:rPr>
                <m:t>/</m:t>
              </m:r>
              <m:r>
                <m:t>40</m:t>
              </m:r>
            </m:oMath>
            <w:r>
              <w:t xml:space="preserve">)</w:t>
            </w:r>
          </w:p>
        </w:tc>
        <w:tc>
          <w:p>
            <w:pPr>
              <w:pStyle w:val="Compact"/>
              <w:jc w:val="center"/>
            </w:pPr>
            <m:oMath>
              <m:r>
                <m:rPr>
                  <m:sty m:val="p"/>
                </m:rPr>
                <m:t>+</m:t>
              </m:r>
              <m:r>
                <m:t>2</m:t>
              </m:r>
            </m:oMath>
          </w:p>
        </w:tc>
        <w:tc>
          <w:p>
            <w:pPr>
              <w:pStyle w:val="Compact"/>
              <w:jc w:val="center"/>
            </w:pPr>
            <w:r>
              <w:t xml:space="preserve">—</w:t>
            </w:r>
          </w:p>
        </w:tc>
        <w:tc>
          <w:p>
            <w:pPr>
              <w:pStyle w:val="Compact"/>
              <w:jc w:val="center"/>
            </w:pPr>
            <w:r>
              <w:t xml:space="preserve">—</w:t>
            </w:r>
          </w:p>
        </w:tc>
      </w:tr>
      <w:tr>
        <w:tc>
          <w:p>
            <w:pPr>
              <w:pStyle w:val="Compact"/>
              <w:jc w:val="left"/>
            </w:pPr>
            <w:r>
              <w:rPr>
                <w:bCs/>
                <w:b/>
              </w:rPr>
              <w:t xml:space="preserve">False Negatives (FN)</w:t>
            </w:r>
          </w:p>
        </w:tc>
        <w:tc>
          <w:p>
            <w:pPr>
              <w:pStyle w:val="Compact"/>
              <w:jc w:val="center"/>
            </w:pPr>
            <w:r>
              <w:rPr>
                <w:bCs/>
                <w:b/>
              </w:rPr>
              <w:t xml:space="preserve">1</w:t>
            </w:r>
            <w:r>
              <w:t xml:space="preserve"> </w:t>
            </w:r>
            <w:r>
              <w:t xml:space="preserve">(</w:t>
            </w:r>
            <m:oMath>
              <m:r>
                <m:t>1</m:t>
              </m:r>
              <m:r>
                <m:rPr>
                  <m:sty m:val="p"/>
                </m:rPr>
                <m:t>/</m:t>
              </m:r>
              <m:r>
                <m:t>7</m:t>
              </m:r>
            </m:oMath>
            <w:r>
              <w:t xml:space="preserve">)</w:t>
            </w:r>
          </w:p>
        </w:tc>
        <w:tc>
          <w:p>
            <w:pPr>
              <w:pStyle w:val="Compact"/>
              <w:jc w:val="center"/>
            </w:pPr>
            <w:r>
              <w:rPr>
                <w:bCs/>
                <w:b/>
              </w:rPr>
              <w:t xml:space="preserve">1</w:t>
            </w:r>
            <w:r>
              <w:t xml:space="preserve"> </w:t>
            </w:r>
            <w:r>
              <w:t xml:space="preserve">(</w:t>
            </w:r>
            <m:oMath>
              <m:r>
                <m:t>1</m:t>
              </m:r>
              <m:r>
                <m:rPr>
                  <m:sty m:val="p"/>
                </m:rPr>
                <m:t>/</m:t>
              </m:r>
              <m:r>
                <m:t>7</m:t>
              </m:r>
            </m:oMath>
            <w:r>
              <w:t xml:space="preserve">)</w:t>
            </w:r>
          </w:p>
        </w:tc>
        <w:tc>
          <w:p>
            <w:pPr>
              <w:pStyle w:val="Compact"/>
              <w:jc w:val="center"/>
            </w:pPr>
            <m:oMath>
              <m:r>
                <m:t>0</m:t>
              </m:r>
            </m:oMath>
          </w:p>
        </w:tc>
        <w:tc>
          <w:p>
            <w:pPr>
              <w:pStyle w:val="Compact"/>
              <w:jc w:val="center"/>
            </w:pPr>
            <w:r>
              <w:t xml:space="preserve">—</w:t>
            </w:r>
          </w:p>
        </w:tc>
        <w:tc>
          <w:p>
            <w:pPr>
              <w:pStyle w:val="Compact"/>
              <w:jc w:val="center"/>
            </w:pPr>
            <w:r>
              <w:t xml:space="preserve">—</w:t>
            </w:r>
          </w:p>
        </w:tc>
      </w:tr>
      <w:tr>
        <w:tc>
          <w:p>
            <w:pPr>
              <w:pStyle w:val="Compact"/>
              <w:jc w:val="left"/>
            </w:pPr>
            <w:r>
              <w:rPr>
                <w:bCs/>
                <w:b/>
              </w:rPr>
              <w:t xml:space="preserve">True Positives (TP)</w:t>
            </w:r>
          </w:p>
        </w:tc>
        <w:tc>
          <w:p>
            <w:pPr>
              <w:pStyle w:val="Compact"/>
              <w:jc w:val="center"/>
            </w:pPr>
            <w:r>
              <w:rPr>
                <w:bCs/>
                <w:b/>
              </w:rPr>
              <w:t xml:space="preserve">6</w:t>
            </w:r>
            <w:r>
              <w:t xml:space="preserve"> </w:t>
            </w:r>
            <w:r>
              <w:t xml:space="preserve">(</w:t>
            </w:r>
            <m:oMath>
              <m:r>
                <m:t>6</m:t>
              </m:r>
              <m:r>
                <m:rPr>
                  <m:sty m:val="p"/>
                </m:rPr>
                <m:t>/</m:t>
              </m:r>
              <m:r>
                <m:t>7</m:t>
              </m:r>
            </m:oMath>
            <w:r>
              <w:t xml:space="preserve">)</w:t>
            </w:r>
          </w:p>
        </w:tc>
        <w:tc>
          <w:p>
            <w:pPr>
              <w:pStyle w:val="Compact"/>
              <w:jc w:val="center"/>
            </w:pPr>
            <w:r>
              <w:rPr>
                <w:bCs/>
                <w:b/>
              </w:rPr>
              <w:t xml:space="preserve">6</w:t>
            </w:r>
            <w:r>
              <w:t xml:space="preserve"> </w:t>
            </w:r>
            <w:r>
              <w:t xml:space="preserve">(</w:t>
            </w:r>
            <m:oMath>
              <m:r>
                <m:t>6</m:t>
              </m:r>
              <m:r>
                <m:rPr>
                  <m:sty m:val="p"/>
                </m:rPr>
                <m:t>/</m:t>
              </m:r>
              <m:r>
                <m:t>7</m:t>
              </m:r>
            </m:oMath>
            <w:r>
              <w:t xml:space="preserve">)</w:t>
            </w:r>
          </w:p>
        </w:tc>
        <w:tc>
          <w:p>
            <w:pPr>
              <w:pStyle w:val="Compact"/>
              <w:jc w:val="center"/>
            </w:pPr>
            <m:oMath>
              <m:r>
                <m:t>0</m:t>
              </m:r>
            </m:oMath>
          </w:p>
        </w:tc>
        <w:tc>
          <w:p>
            <w:pPr>
              <w:pStyle w:val="Compact"/>
              <w:jc w:val="center"/>
            </w:pPr>
            <w:r>
              <w:t xml:space="preserve">—</w:t>
            </w:r>
          </w:p>
        </w:tc>
        <w:tc>
          <w:p>
            <w:pPr>
              <w:pStyle w:val="Compact"/>
              <w:jc w:val="center"/>
            </w:pPr>
            <w:r>
              <w:t xml:space="preserve">—</w:t>
            </w:r>
          </w:p>
        </w:tc>
      </w:tr>
      <w:tr>
        <w:tc>
          <w:p>
            <w:pPr>
              <w:pStyle w:val="Compact"/>
              <w:jc w:val="left"/>
            </w:pPr>
            <w:r>
              <w:rPr>
                <w:bCs/>
                <w:b/>
              </w:rPr>
              <w:t xml:space="preserve">Accuracy</w:t>
            </w:r>
          </w:p>
        </w:tc>
        <w:tc>
          <w:p>
            <w:pPr>
              <w:pStyle w:val="Compact"/>
              <w:jc w:val="center"/>
            </w:pPr>
            <w:r>
              <w:rPr>
                <w:bCs/>
                <w:b/>
              </w:rPr>
              <w:t xml:space="preserve">85.11%</w:t>
            </w:r>
            <w:r>
              <w:t xml:space="preserve"> </w:t>
            </w:r>
            <w:r>
              <w:t xml:space="preserve">(40/47)</w:t>
            </w:r>
          </w:p>
        </w:tc>
        <w:tc>
          <w:p>
            <w:pPr>
              <w:pStyle w:val="Compact"/>
              <w:jc w:val="center"/>
            </w:pPr>
            <w:r>
              <w:rPr>
                <w:bCs/>
                <w:b/>
              </w:rPr>
              <w:t xml:space="preserve">80.85%</w:t>
            </w:r>
            <w:r>
              <w:t xml:space="preserve"> </w:t>
            </w:r>
            <w:r>
              <w:t xml:space="preserve">(38/47)</w:t>
            </w:r>
          </w:p>
        </w:tc>
        <w:tc>
          <w:p>
            <w:pPr>
              <w:pStyle w:val="Compact"/>
              <w:jc w:val="center"/>
            </w:pPr>
            <m:oMath>
              <m:r>
                <m:rPr>
                  <m:sty m:val="p"/>
                </m:rPr>
                <m:t>−</m:t>
              </m:r>
              <m:r>
                <m:t>4.26</m:t>
              </m:r>
              <m:r>
                <m:rPr>
                  <m:sty m:val="p"/>
                </m:rPr>
                <m:t>%</m:t>
              </m:r>
            </m:oMath>
          </w:p>
        </w:tc>
        <w:tc>
          <w:p>
            <w:pPr>
              <w:pStyle w:val="Compact"/>
              <w:jc w:val="center"/>
            </w:pPr>
            <w:r>
              <w:rPr>
                <w:rStyle w:val="VerbatimChar"/>
              </w:rPr>
              <w:t xml:space="preserve">[0.7231, 0.9259]</w:t>
            </w:r>
            <w:r>
              <w:t xml:space="preserve"> </w:t>
            </w:r>
            <w:r>
              <w:t xml:space="preserve">(C3)</w:t>
            </w:r>
            <w:r>
              <w:rPr>
                <w:rStyle w:val="VerbatimChar"/>
              </w:rPr>
              <w:t xml:space="preserve">[0.6746, 0.8958]</w:t>
            </w:r>
            <w:r>
              <w:t xml:space="preserve"> </w:t>
            </w:r>
            <w:r>
              <w:t xml:space="preserve">(D5)</w:t>
            </w:r>
          </w:p>
        </w:tc>
        <w:tc>
          <w:p>
            <w:pPr>
              <w:pStyle w:val="Compact"/>
              <w:jc w:val="center"/>
            </w:pPr>
            <w:r>
              <w:rPr>
                <w:rStyle w:val="VerbatimChar"/>
              </w:rPr>
              <w:t xml:space="preserve">[0.7169, 0.9380]</w:t>
            </w:r>
            <w:r>
              <w:t xml:space="preserve"> </w:t>
            </w:r>
            <w:r>
              <w:t xml:space="preserve">(C3)</w:t>
            </w:r>
            <w:r>
              <w:rPr>
                <w:rStyle w:val="VerbatimChar"/>
              </w:rPr>
              <w:t xml:space="preserve">[0.6674, 0.9085]</w:t>
            </w:r>
            <w:r>
              <w:t xml:space="preserve"> </w:t>
            </w:r>
            <w:r>
              <w:t xml:space="preserve">(D5)</w:t>
            </w:r>
          </w:p>
        </w:tc>
      </w:tr>
      <w:tr>
        <w:tc>
          <w:p>
            <w:pPr>
              <w:pStyle w:val="Compact"/>
              <w:jc w:val="left"/>
            </w:pPr>
            <w:r>
              <w:rPr>
                <w:bCs/>
                <w:b/>
              </w:rPr>
              <w:t xml:space="preserve">Sensitivity (Recall)</w:t>
            </w:r>
          </w:p>
        </w:tc>
        <w:tc>
          <w:p>
            <w:pPr>
              <w:pStyle w:val="Compact"/>
              <w:jc w:val="center"/>
            </w:pPr>
            <w:r>
              <w:rPr>
                <w:bCs/>
                <w:b/>
              </w:rPr>
              <w:t xml:space="preserve">85.71%</w:t>
            </w:r>
            <w:r>
              <w:t xml:space="preserve"> </w:t>
            </w:r>
            <w:r>
              <w:t xml:space="preserve">(6/7)</w:t>
            </w:r>
          </w:p>
        </w:tc>
        <w:tc>
          <w:p>
            <w:pPr>
              <w:pStyle w:val="Compact"/>
              <w:jc w:val="center"/>
            </w:pPr>
            <w:r>
              <w:rPr>
                <w:bCs/>
                <w:b/>
              </w:rPr>
              <w:t xml:space="preserve">85.71%</w:t>
            </w:r>
            <w:r>
              <w:t xml:space="preserve"> </w:t>
            </w:r>
            <w:r>
              <w:t xml:space="preserve">(6/7)</w:t>
            </w:r>
          </w:p>
        </w:tc>
        <w:tc>
          <w:p>
            <w:pPr>
              <w:pStyle w:val="Compact"/>
              <w:jc w:val="center"/>
            </w:pPr>
            <m:oMath>
              <m:r>
                <m:t>0.00</m:t>
              </m:r>
              <m:r>
                <m:rPr>
                  <m:sty m:val="p"/>
                </m:rPr>
                <m:t>%</m:t>
              </m:r>
            </m:oMath>
          </w:p>
        </w:tc>
        <w:tc>
          <w:p>
            <w:pPr>
              <w:pStyle w:val="Compact"/>
              <w:jc w:val="center"/>
            </w:pPr>
            <w:r>
              <w:rPr>
                <w:rStyle w:val="VerbatimChar"/>
              </w:rPr>
              <w:t xml:space="preserve">[0.4869, 0.9743]</w:t>
            </w:r>
          </w:p>
        </w:tc>
        <w:tc>
          <w:p>
            <w:pPr>
              <w:pStyle w:val="Compact"/>
              <w:jc w:val="center"/>
            </w:pPr>
            <w:r>
              <w:rPr>
                <w:rStyle w:val="VerbatimChar"/>
              </w:rPr>
              <w:t xml:space="preserve">[0.4213, 0.9964]</w:t>
            </w:r>
          </w:p>
        </w:tc>
      </w:tr>
      <w:tr>
        <w:tc>
          <w:p>
            <w:pPr>
              <w:pStyle w:val="Compact"/>
              <w:jc w:val="left"/>
            </w:pPr>
            <w:r>
              <w:rPr>
                <w:bCs/>
                <w:b/>
              </w:rPr>
              <w:t xml:space="preserve">Specificity</w:t>
            </w:r>
          </w:p>
        </w:tc>
        <w:tc>
          <w:p>
            <w:pPr>
              <w:pStyle w:val="Compact"/>
              <w:jc w:val="center"/>
            </w:pPr>
            <w:r>
              <w:rPr>
                <w:bCs/>
                <w:b/>
              </w:rPr>
              <w:t xml:space="preserve">85.00%</w:t>
            </w:r>
            <w:r>
              <w:t xml:space="preserve"> </w:t>
            </w:r>
            <w:r>
              <w:t xml:space="preserve">(34/40)</w:t>
            </w:r>
          </w:p>
        </w:tc>
        <w:tc>
          <w:p>
            <w:pPr>
              <w:pStyle w:val="Compact"/>
              <w:jc w:val="center"/>
            </w:pPr>
            <w:r>
              <w:rPr>
                <w:bCs/>
                <w:b/>
              </w:rPr>
              <w:t xml:space="preserve">80.00%</w:t>
            </w:r>
            <w:r>
              <w:t xml:space="preserve"> </w:t>
            </w:r>
            <w:r>
              <w:t xml:space="preserve">(32/40)</w:t>
            </w:r>
          </w:p>
        </w:tc>
        <w:tc>
          <w:p>
            <w:pPr>
              <w:pStyle w:val="Compact"/>
              <w:jc w:val="center"/>
            </w:pPr>
            <m:oMath>
              <m:r>
                <m:rPr>
                  <m:sty m:val="p"/>
                </m:rPr>
                <m:t>−</m:t>
              </m:r>
              <m:r>
                <m:t>5.00</m:t>
              </m:r>
              <m:r>
                <m:rPr>
                  <m:sty m:val="p"/>
                </m:rPr>
                <m:t>%</m:t>
              </m:r>
            </m:oMath>
          </w:p>
        </w:tc>
        <w:tc>
          <w:p>
            <w:pPr>
              <w:pStyle w:val="Compact"/>
              <w:jc w:val="center"/>
            </w:pPr>
            <w:r>
              <w:rPr>
                <w:rStyle w:val="VerbatimChar"/>
              </w:rPr>
              <w:t xml:space="preserve">[0.7093, 0.9294]</w:t>
            </w:r>
            <w:r>
              <w:t xml:space="preserve"> </w:t>
            </w:r>
            <w:r>
              <w:t xml:space="preserve">(C3)</w:t>
            </w:r>
            <w:r>
              <w:rPr>
                <w:rStyle w:val="VerbatimChar"/>
              </w:rPr>
              <w:t xml:space="preserve">[0.6524, 0.8950]</w:t>
            </w:r>
            <w:r>
              <w:t xml:space="preserve"> </w:t>
            </w:r>
            <w:r>
              <w:t xml:space="preserve">(D5)</w:t>
            </w:r>
          </w:p>
        </w:tc>
        <w:tc>
          <w:p>
            <w:pPr>
              <w:pStyle w:val="Compact"/>
              <w:jc w:val="center"/>
            </w:pPr>
            <w:r>
              <w:rPr>
                <w:rStyle w:val="VerbatimChar"/>
              </w:rPr>
              <w:t xml:space="preserve">[0.7016, 0.9429]</w:t>
            </w:r>
            <w:r>
              <w:t xml:space="preserve"> </w:t>
            </w:r>
            <w:r>
              <w:t xml:space="preserve">(C3)</w:t>
            </w:r>
            <w:r>
              <w:rPr>
                <w:rStyle w:val="VerbatimChar"/>
              </w:rPr>
              <w:t xml:space="preserve">[0.6435, 0.9095]</w:t>
            </w:r>
            <w:r>
              <w:t xml:space="preserve"> </w:t>
            </w:r>
            <w:r>
              <w:t xml:space="preserve">(D5)</w:t>
            </w:r>
          </w:p>
        </w:tc>
      </w:tr>
      <w:tr>
        <w:tc>
          <w:p>
            <w:pPr>
              <w:pStyle w:val="Compact"/>
              <w:jc w:val="left"/>
            </w:pPr>
            <w:r>
              <w:rPr>
                <w:bCs/>
                <w:b/>
              </w:rPr>
              <w:t xml:space="preserve">Precision (PPV)</w:t>
            </w:r>
          </w:p>
        </w:tc>
        <w:tc>
          <w:p>
            <w:pPr>
              <w:pStyle w:val="Compact"/>
              <w:jc w:val="center"/>
            </w:pPr>
            <w:r>
              <w:rPr>
                <w:bCs/>
                <w:b/>
              </w:rPr>
              <w:t xml:space="preserve">50.00%</w:t>
            </w:r>
            <w:r>
              <w:t xml:space="preserve"> </w:t>
            </w:r>
            <w:r>
              <w:t xml:space="preserve">(6/12)</w:t>
            </w:r>
          </w:p>
        </w:tc>
        <w:tc>
          <w:p>
            <w:pPr>
              <w:pStyle w:val="Compact"/>
              <w:jc w:val="center"/>
            </w:pPr>
            <w:r>
              <w:rPr>
                <w:bCs/>
                <w:b/>
              </w:rPr>
              <w:t xml:space="preserve">42.86%</w:t>
            </w:r>
            <w:r>
              <w:t xml:space="preserve"> </w:t>
            </w:r>
            <w:r>
              <w:t xml:space="preserve">(6/14)</w:t>
            </w:r>
          </w:p>
        </w:tc>
        <w:tc>
          <w:p>
            <w:pPr>
              <w:pStyle w:val="Compact"/>
              <w:jc w:val="center"/>
            </w:pPr>
            <m:oMath>
              <m:r>
                <m:rPr>
                  <m:sty m:val="p"/>
                </m:rPr>
                <m:t>−</m:t>
              </m:r>
              <m:r>
                <m:t>7.14</m:t>
              </m:r>
              <m:r>
                <m:rPr>
                  <m:sty m:val="p"/>
                </m:rPr>
                <m:t>%</m:t>
              </m:r>
            </m:oMath>
          </w:p>
        </w:tc>
        <w:tc>
          <w:p>
            <w:pPr>
              <w:pStyle w:val="Compact"/>
              <w:jc w:val="center"/>
            </w:pPr>
            <w:r>
              <w:rPr>
                <w:rStyle w:val="VerbatimChar"/>
              </w:rPr>
              <w:t xml:space="preserve">[0.2538, 0.7462]</w:t>
            </w:r>
            <w:r>
              <w:t xml:space="preserve"> </w:t>
            </w:r>
            <w:r>
              <w:t xml:space="preserve">(C3)</w:t>
            </w:r>
            <w:r>
              <w:rPr>
                <w:rStyle w:val="VerbatimChar"/>
              </w:rPr>
              <w:t xml:space="preserve">[0.2138, 0.6741]</w:t>
            </w:r>
            <w:r>
              <w:t xml:space="preserve"> </w:t>
            </w:r>
            <w:r>
              <w:t xml:space="preserve">(D5)</w:t>
            </w:r>
          </w:p>
        </w:tc>
        <w:tc>
          <w:p>
            <w:pPr>
              <w:pStyle w:val="Compact"/>
              <w:jc w:val="center"/>
            </w:pPr>
            <w:r>
              <w:rPr>
                <w:rStyle w:val="VerbatimChar"/>
              </w:rPr>
              <w:t xml:space="preserve">[0.2109, 0.7891]</w:t>
            </w:r>
            <w:r>
              <w:t xml:space="preserve"> </w:t>
            </w:r>
            <w:r>
              <w:t xml:space="preserve">(C3)</w:t>
            </w:r>
            <w:r>
              <w:rPr>
                <w:rStyle w:val="VerbatimChar"/>
              </w:rPr>
              <w:t xml:space="preserve">[0.1766, 0.7114]</w:t>
            </w:r>
            <w:r>
              <w:t xml:space="preserve"> </w:t>
            </w:r>
            <w:r>
              <w:t xml:space="preserve">(D5)</w:t>
            </w:r>
          </w:p>
        </w:tc>
      </w:tr>
      <w:tr>
        <w:tc>
          <w:p>
            <w:pPr>
              <w:pStyle w:val="Compact"/>
              <w:jc w:val="left"/>
            </w:pPr>
            <w:r>
              <w:rPr>
                <w:bCs/>
                <w:b/>
              </w:rPr>
              <w:t xml:space="preserve">Negative Predictive Value (NPV)</w:t>
            </w:r>
          </w:p>
        </w:tc>
        <w:tc>
          <w:p>
            <w:pPr>
              <w:pStyle w:val="Compact"/>
              <w:jc w:val="center"/>
            </w:pPr>
            <w:r>
              <w:rPr>
                <w:bCs/>
                <w:b/>
              </w:rPr>
              <w:t xml:space="preserve">97.14%</w:t>
            </w:r>
            <w:r>
              <w:t xml:space="preserve"> </w:t>
            </w:r>
            <w:r>
              <w:t xml:space="preserve">(34/35)</w:t>
            </w:r>
          </w:p>
        </w:tc>
        <w:tc>
          <w:p>
            <w:pPr>
              <w:pStyle w:val="Compact"/>
              <w:jc w:val="center"/>
            </w:pPr>
            <w:r>
              <w:rPr>
                <w:bCs/>
                <w:b/>
              </w:rPr>
              <w:t xml:space="preserve">96.97%</w:t>
            </w:r>
            <w:r>
              <w:t xml:space="preserve"> </w:t>
            </w:r>
            <w:r>
              <w:t xml:space="preserve">(32/33)</w:t>
            </w:r>
          </w:p>
        </w:tc>
        <w:tc>
          <w:p>
            <w:pPr>
              <w:pStyle w:val="Compact"/>
              <w:jc w:val="center"/>
            </w:pPr>
            <m:oMath>
              <m:r>
                <m:rPr>
                  <m:sty m:val="p"/>
                </m:rPr>
                <m:t>−</m:t>
              </m:r>
              <m:r>
                <m:t>0.17</m:t>
              </m:r>
              <m:r>
                <m:rPr>
                  <m:sty m:val="p"/>
                </m:rPr>
                <m:t>%</m:t>
              </m:r>
            </m:oMath>
          </w:p>
        </w:tc>
        <w:tc>
          <w:p>
            <w:pPr>
              <w:pStyle w:val="Compact"/>
              <w:jc w:val="center"/>
            </w:pPr>
            <w:r>
              <w:rPr>
                <w:rStyle w:val="VerbatimChar"/>
              </w:rPr>
              <w:t xml:space="preserve">[0.8547, 0.9949]</w:t>
            </w:r>
            <w:r>
              <w:t xml:space="preserve"> </w:t>
            </w:r>
            <w:r>
              <w:t xml:space="preserve">(C3)</w:t>
            </w:r>
            <w:r>
              <w:rPr>
                <w:rStyle w:val="VerbatimChar"/>
              </w:rPr>
              <w:t xml:space="preserve">[0.8468, 0.9946]</w:t>
            </w:r>
            <w:r>
              <w:t xml:space="preserve"> </w:t>
            </w:r>
            <w:r>
              <w:t xml:space="preserve">(D5)</w:t>
            </w:r>
          </w:p>
        </w:tc>
        <w:tc>
          <w:p>
            <w:pPr>
              <w:pStyle w:val="Compact"/>
              <w:jc w:val="center"/>
            </w:pPr>
            <w:r>
              <w:rPr>
                <w:rStyle w:val="VerbatimChar"/>
              </w:rPr>
              <w:t xml:space="preserve">[0.8508, 0.9993]</w:t>
            </w:r>
            <w:r>
              <w:t xml:space="preserve"> </w:t>
            </w:r>
            <w:r>
              <w:t xml:space="preserve">(C3)</w:t>
            </w:r>
            <w:r>
              <w:rPr>
                <w:rStyle w:val="VerbatimChar"/>
              </w:rPr>
              <w:t xml:space="preserve">[0.8424, 0.9992]</w:t>
            </w:r>
            <w:r>
              <w:t xml:space="preserve"> </w:t>
            </w:r>
            <w:r>
              <w:t xml:space="preserve">(D5)</w:t>
            </w:r>
          </w:p>
        </w:tc>
      </w:tr>
      <w:tr>
        <w:tc>
          <w:p>
            <w:pPr>
              <w:pStyle w:val="Compact"/>
              <w:jc w:val="left"/>
            </w:pPr>
            <w:r>
              <w:rPr>
                <w:bCs/>
                <w:b/>
              </w:rPr>
              <w:t xml:space="preserve">F1-Score</w:t>
            </w:r>
          </w:p>
        </w:tc>
        <w:tc>
          <w:p>
            <w:pPr>
              <w:pStyle w:val="Compact"/>
              <w:jc w:val="center"/>
            </w:pPr>
            <w:r>
              <w:rPr>
                <w:bCs/>
                <w:b/>
              </w:rPr>
              <w:t xml:space="preserve">0.6316</w:t>
            </w:r>
          </w:p>
        </w:tc>
        <w:tc>
          <w:p>
            <w:pPr>
              <w:pStyle w:val="Compact"/>
              <w:jc w:val="center"/>
            </w:pPr>
            <w:r>
              <w:rPr>
                <w:bCs/>
                <w:b/>
              </w:rPr>
              <w:t xml:space="preserve">0.5714</w:t>
            </w:r>
          </w:p>
        </w:tc>
        <w:tc>
          <w:p>
            <w:pPr>
              <w:pStyle w:val="Compact"/>
              <w:jc w:val="center"/>
            </w:pPr>
            <m:oMath>
              <m:r>
                <m:rPr>
                  <m:sty m:val="p"/>
                </m:rPr>
                <m:t>−</m:t>
              </m:r>
              <m:r>
                <m:t>0.0602</m:t>
              </m:r>
            </m:oMath>
          </w:p>
        </w:tc>
        <w:tc>
          <w:p>
            <w:pPr>
              <w:pStyle w:val="Compact"/>
              <w:jc w:val="center"/>
            </w:pPr>
            <w:r>
              <w:t xml:space="preserve">Bootstrap:</w:t>
            </w:r>
            <w:r>
              <w:t xml:space="preserve"> </w:t>
            </w:r>
            <w:r>
              <w:rPr>
                <w:rStyle w:val="VerbatimChar"/>
              </w:rPr>
              <w:t xml:space="preserve">[0.4211, 0.8235]</w:t>
            </w:r>
            <w:r>
              <w:t xml:space="preserve"> </w:t>
            </w:r>
            <w:r>
              <w:t xml:space="preserve">(C3) /</w:t>
            </w:r>
            <w:r>
              <w:t xml:space="preserve"> </w:t>
            </w:r>
            <w:r>
              <w:rPr>
                <w:rStyle w:val="VerbatimChar"/>
              </w:rPr>
              <w:t xml:space="preserve">[0.3810, 0.7778]</w:t>
            </w:r>
            <w:r>
              <w:t xml:space="preserve"> </w:t>
            </w:r>
            <w:r>
              <w:t xml:space="preserve">(D5)</w:t>
            </w:r>
          </w:p>
        </w:tc>
        <w:tc>
          <w:p>
            <w:pPr>
              <w:pStyle w:val="Compact"/>
              <w:jc w:val="center"/>
            </w:pPr>
            <w:r>
              <w:t xml:space="preserve">—</w:t>
            </w:r>
          </w:p>
        </w:tc>
      </w:tr>
      <w:tr>
        <w:tc>
          <w:p>
            <w:pPr>
              <w:pStyle w:val="Compact"/>
              <w:jc w:val="left"/>
            </w:pPr>
            <w:r>
              <w:rPr>
                <w:bCs/>
                <w:b/>
              </w:rPr>
              <w:t xml:space="preserve">Balanced Accuracy</w:t>
            </w:r>
          </w:p>
        </w:tc>
        <w:tc>
          <w:p>
            <w:pPr>
              <w:pStyle w:val="Compact"/>
              <w:jc w:val="center"/>
            </w:pPr>
            <w:r>
              <w:rPr>
                <w:bCs/>
                <w:b/>
              </w:rPr>
              <w:t xml:space="preserve">85.36%</w:t>
            </w:r>
          </w:p>
        </w:tc>
        <w:tc>
          <w:p>
            <w:pPr>
              <w:pStyle w:val="Compact"/>
              <w:jc w:val="center"/>
            </w:pPr>
            <w:r>
              <w:rPr>
                <w:bCs/>
                <w:b/>
              </w:rPr>
              <w:t xml:space="preserve">82.86%</w:t>
            </w:r>
          </w:p>
        </w:tc>
        <w:tc>
          <w:p>
            <w:pPr>
              <w:pStyle w:val="Compact"/>
              <w:jc w:val="center"/>
            </w:pPr>
            <m:oMath>
              <m:r>
                <m:rPr>
                  <m:sty m:val="p"/>
                </m:rPr>
                <m:t>−</m:t>
              </m:r>
              <m:r>
                <m:t>2.50</m:t>
              </m:r>
              <m:r>
                <m:rPr>
                  <m:sty m:val="p"/>
                </m:rPr>
                <m:t>%</m:t>
              </m:r>
            </m:oMath>
          </w:p>
        </w:tc>
        <w:tc>
          <w:p>
            <w:pPr>
              <w:pStyle w:val="Compact"/>
              <w:jc w:val="center"/>
            </w:pPr>
            <w:r>
              <w:t xml:space="preserve">Bootstrap:</w:t>
            </w:r>
            <w:r>
              <w:t xml:space="preserve"> </w:t>
            </w:r>
            <w:r>
              <w:rPr>
                <w:rStyle w:val="VerbatimChar"/>
              </w:rPr>
              <w:t xml:space="preserve">[0.6857, 0.9625]</w:t>
            </w:r>
            <w:r>
              <w:t xml:space="preserve"> </w:t>
            </w:r>
            <w:r>
              <w:t xml:space="preserve">(C3) /</w:t>
            </w:r>
            <w:r>
              <w:t xml:space="preserve"> </w:t>
            </w:r>
            <w:r>
              <w:rPr>
                <w:rStyle w:val="VerbatimChar"/>
              </w:rPr>
              <w:t xml:space="preserve">[0.6607, 0.9378]</w:t>
            </w:r>
            <w:r>
              <w:t xml:space="preserve"> </w:t>
            </w:r>
            <w:r>
              <w:t xml:space="preserve">(D5)</w:t>
            </w:r>
          </w:p>
        </w:tc>
        <w:tc>
          <w:p>
            <w:pPr>
              <w:pStyle w:val="Compact"/>
              <w:jc w:val="center"/>
            </w:pPr>
            <w:r>
              <w:t xml:space="preserve">—</w:t>
            </w:r>
          </w:p>
        </w:tc>
      </w:tr>
      <w:tr>
        <w:tc>
          <w:p>
            <w:pPr>
              <w:pStyle w:val="Compact"/>
              <w:jc w:val="left"/>
            </w:pPr>
            <w:r>
              <w:rPr>
                <w:bCs/>
                <w:b/>
              </w:rPr>
              <w:t xml:space="preserve">ROC-AUC</w:t>
            </w:r>
          </w:p>
        </w:tc>
        <w:tc>
          <w:p>
            <w:pPr>
              <w:pStyle w:val="Compact"/>
              <w:jc w:val="center"/>
            </w:pPr>
            <w:r>
              <w:rPr>
                <w:bCs/>
                <w:b/>
              </w:rPr>
              <w:t xml:space="preserve">0.9036</w:t>
            </w:r>
          </w:p>
        </w:tc>
        <w:tc>
          <w:p>
            <w:pPr>
              <w:pStyle w:val="Compact"/>
              <w:jc w:val="center"/>
            </w:pPr>
            <w:r>
              <w:rPr>
                <w:bCs/>
                <w:b/>
              </w:rPr>
              <w:t xml:space="preserve">0.8964</w:t>
            </w:r>
          </w:p>
        </w:tc>
        <w:tc>
          <w:p>
            <w:pPr>
              <w:pStyle w:val="Compact"/>
              <w:jc w:val="center"/>
            </w:pPr>
            <m:oMath>
              <m:r>
                <m:rPr>
                  <m:sty m:val="p"/>
                </m:rPr>
                <m:t>−</m:t>
              </m:r>
              <m:r>
                <m:t>0.0072</m:t>
              </m:r>
            </m:oMath>
          </w:p>
        </w:tc>
        <w:tc>
          <w:p>
            <w:pPr>
              <w:pStyle w:val="Compact"/>
              <w:jc w:val="center"/>
            </w:pPr>
            <w:r>
              <w:t xml:space="preserve">Bootstrap:</w:t>
            </w:r>
            <w:r>
              <w:t xml:space="preserve"> </w:t>
            </w:r>
            <w:r>
              <w:rPr>
                <w:rStyle w:val="VerbatimChar"/>
              </w:rPr>
              <w:t xml:space="preserve">[0.7928, 0.9821]</w:t>
            </w:r>
            <w:r>
              <w:t xml:space="preserve"> </w:t>
            </w:r>
            <w:r>
              <w:t xml:space="preserve">(C3) /</w:t>
            </w:r>
            <w:r>
              <w:t xml:space="preserve"> </w:t>
            </w:r>
            <w:r>
              <w:rPr>
                <w:rStyle w:val="VerbatimChar"/>
              </w:rPr>
              <w:t xml:space="preserve">[0.7750, 0.9786]</w:t>
            </w:r>
            <w:r>
              <w:t xml:space="preserve"> </w:t>
            </w:r>
            <w:r>
              <w:t xml:space="preserve">(D5)</w:t>
            </w:r>
          </w:p>
        </w:tc>
        <w:tc>
          <w:p>
            <w:pPr>
              <w:pStyle w:val="Compact"/>
              <w:jc w:val="center"/>
            </w:pPr>
            <w:r>
              <w:t xml:space="preserve">—</w:t>
            </w:r>
          </w:p>
        </w:tc>
      </w:tr>
      <w:tr>
        <w:tc>
          <w:p>
            <w:pPr>
              <w:pStyle w:val="Compact"/>
              <w:jc w:val="left"/>
            </w:pPr>
            <w:r>
              <w:rPr>
                <w:bCs/>
                <w:b/>
              </w:rPr>
              <w:t xml:space="preserve">PR-AUC (Prevalence: 14.89%)</w:t>
            </w:r>
          </w:p>
        </w:tc>
        <w:tc>
          <w:p>
            <w:pPr>
              <w:pStyle w:val="Compact"/>
              <w:jc w:val="center"/>
            </w:pPr>
            <w:r>
              <w:rPr>
                <w:bCs/>
                <w:b/>
              </w:rPr>
              <w:t xml:space="preserve">0.6188</w:t>
            </w:r>
          </w:p>
        </w:tc>
        <w:tc>
          <w:p>
            <w:pPr>
              <w:pStyle w:val="Compact"/>
              <w:jc w:val="center"/>
            </w:pPr>
            <w:r>
              <w:rPr>
                <w:bCs/>
                <w:b/>
              </w:rPr>
              <w:t xml:space="preserve">0.6151</w:t>
            </w:r>
          </w:p>
        </w:tc>
        <w:tc>
          <w:p>
            <w:pPr>
              <w:pStyle w:val="Compact"/>
              <w:jc w:val="center"/>
            </w:pPr>
            <m:oMath>
              <m:r>
                <m:rPr>
                  <m:sty m:val="p"/>
                </m:rPr>
                <m:t>−</m:t>
              </m:r>
              <m:r>
                <m:t>0.0037</m:t>
              </m:r>
            </m:oMath>
          </w:p>
        </w:tc>
        <w:tc>
          <w:p>
            <w:pPr>
              <w:pStyle w:val="Compact"/>
              <w:jc w:val="center"/>
            </w:pPr>
            <w:r>
              <w:t xml:space="preserve">Bootstrap:</w:t>
            </w:r>
            <w:r>
              <w:t xml:space="preserve"> </w:t>
            </w:r>
            <w:r>
              <w:rPr>
                <w:rStyle w:val="VerbatimChar"/>
              </w:rPr>
              <w:t xml:space="preserve">[0.3821, 0.9286]</w:t>
            </w:r>
            <w:r>
              <w:t xml:space="preserve"> </w:t>
            </w:r>
            <w:r>
              <w:t xml:space="preserve">(C3) /</w:t>
            </w:r>
            <w:r>
              <w:t xml:space="preserve"> </w:t>
            </w:r>
            <w:r>
              <w:rPr>
                <w:rStyle w:val="VerbatimChar"/>
              </w:rPr>
              <w:t xml:space="preserve">[0.3831, 0.9137]</w:t>
            </w:r>
            <w:r>
              <w:t xml:space="preserve"> </w:t>
            </w:r>
            <w:r>
              <w:t xml:space="preserve">(D5)</w:t>
            </w:r>
          </w:p>
        </w:tc>
        <w:tc>
          <w:p>
            <w:pPr>
              <w:pStyle w:val="Compact"/>
              <w:jc w:val="center"/>
            </w:pPr>
            <w:r>
              <w:t xml:space="preserve">—</w:t>
            </w:r>
          </w:p>
        </w:tc>
      </w:tr>
      <w:tr>
        <w:tc>
          <w:p>
            <w:pPr>
              <w:pStyle w:val="Compact"/>
              <w:jc w:val="left"/>
            </w:pPr>
            <w:r>
              <w:rPr>
                <w:bCs/>
                <w:b/>
              </w:rPr>
              <w:t xml:space="preserve">Brier Score</w:t>
            </w:r>
          </w:p>
        </w:tc>
        <w:tc>
          <w:p>
            <w:pPr>
              <w:pStyle w:val="Compact"/>
              <w:jc w:val="center"/>
            </w:pPr>
            <w:r>
              <w:rPr>
                <w:bCs/>
                <w:b/>
              </w:rPr>
              <w:t xml:space="preserve">0.1133</w:t>
            </w:r>
          </w:p>
        </w:tc>
        <w:tc>
          <w:p>
            <w:pPr>
              <w:pStyle w:val="Compact"/>
              <w:jc w:val="center"/>
            </w:pPr>
            <w:r>
              <w:rPr>
                <w:bCs/>
                <w:b/>
              </w:rPr>
              <w:t xml:space="preserve">0.1281</w:t>
            </w:r>
          </w:p>
        </w:tc>
        <w:tc>
          <w:p>
            <w:pPr>
              <w:pStyle w:val="Compact"/>
              <w:jc w:val="center"/>
            </w:pPr>
            <m:oMath>
              <m:r>
                <m:rPr>
                  <m:sty m:val="p"/>
                </m:rPr>
                <m:t>+</m:t>
              </m:r>
              <m:r>
                <m:t>0.0148</m:t>
              </m:r>
            </m:oMath>
          </w:p>
        </w:tc>
        <w:tc>
          <w:p>
            <w:pPr>
              <w:pStyle w:val="Compact"/>
              <w:jc w:val="center"/>
            </w:pPr>
            <w:r>
              <w:t xml:space="preserve">Lower is better (C3 has lower squared error)</w:t>
            </w:r>
          </w:p>
        </w:tc>
        <w:tc>
          <w:p>
            <w:pPr>
              <w:pStyle w:val="Compact"/>
              <w:jc w:val="center"/>
            </w:pPr>
            <w:r>
              <w:t xml:space="preserve">—</w:t>
            </w:r>
          </w:p>
        </w:tc>
      </w:tr>
      <w:tr>
        <w:tc>
          <w:p>
            <w:pPr>
              <w:pStyle w:val="Compact"/>
              <w:jc w:val="left"/>
            </w:pPr>
            <w:r>
              <w:rPr>
                <w:bCs/>
                <w:b/>
              </w:rPr>
              <w:t xml:space="preserve">Log Loss</w:t>
            </w:r>
          </w:p>
        </w:tc>
        <w:tc>
          <w:p>
            <w:pPr>
              <w:pStyle w:val="Compact"/>
              <w:jc w:val="center"/>
            </w:pPr>
            <w:r>
              <w:rPr>
                <w:bCs/>
                <w:b/>
              </w:rPr>
              <w:t xml:space="preserve">0.3519</w:t>
            </w:r>
          </w:p>
        </w:tc>
        <w:tc>
          <w:p>
            <w:pPr>
              <w:pStyle w:val="Compact"/>
              <w:jc w:val="center"/>
            </w:pPr>
            <w:r>
              <w:rPr>
                <w:bCs/>
                <w:b/>
              </w:rPr>
              <w:t xml:space="preserve">0.4075</w:t>
            </w:r>
          </w:p>
        </w:tc>
        <w:tc>
          <w:p>
            <w:pPr>
              <w:pStyle w:val="Compact"/>
              <w:jc w:val="center"/>
            </w:pPr>
            <m:oMath>
              <m:r>
                <m:rPr>
                  <m:sty m:val="p"/>
                </m:rPr>
                <m:t>+</m:t>
              </m:r>
              <m:r>
                <m:t>0.0556</m:t>
              </m:r>
            </m:oMath>
          </w:p>
        </w:tc>
        <w:tc>
          <w:p>
            <w:pPr>
              <w:pStyle w:val="Compact"/>
              <w:jc w:val="center"/>
            </w:pPr>
            <w:r>
              <w:t xml:space="preserve">Lower is better (C3 has lower cross-entropy)</w:t>
            </w:r>
          </w:p>
        </w:tc>
        <w:tc>
          <w:p>
            <w:pPr>
              <w:pStyle w:val="Compact"/>
              <w:jc w:val="center"/>
            </w:pPr>
            <w:r>
              <w:t xml:space="preserve">—</w:t>
            </w:r>
          </w:p>
        </w:tc>
      </w:tr>
    </w:tbl>
    <w:p>
      <w:pPr>
        <w:pStyle w:val="BodyText"/>
      </w:pPr>
      <w:r>
        <w:t xml:space="preserve">Confusion matrices, ROC curves, Precision-Recall curves, and test reliability diagrams are displayed in</w:t>
      </w:r>
      <w:r>
        <w:t xml:space="preserve"> </w:t>
      </w:r>
      <w:r>
        <w:rPr>
          <w:bCs/>
          <w:b/>
        </w:rPr>
        <w:t xml:space="preserve">Figures 5, 6, 7, and 8</w:t>
      </w:r>
      <w:r>
        <w:t xml:space="preserve">:</w:t>
      </w:r>
    </w:p>
    <w:p>
      <w:pPr>
        <w:pStyle w:val="BodyText"/>
      </w:pPr>
      <w:r>
        <w:drawing>
          <wp:inline>
            <wp:extent cx="5334000" cy="2327563"/>
            <wp:effectExtent b="0" l="0" r="0" t="0"/>
            <wp:docPr descr="Confusion Matrices" title="" id="1" name="Picture"/>
            <a:graphic>
              <a:graphicData uri="http://schemas.openxmlformats.org/drawingml/2006/picture">
                <pic:pic>
                  <pic:nvPicPr>
                    <pic:cNvPr descr="figures/confusion_matrices_c3_vs_d5.png" id="0" name="Picture"/>
                    <pic:cNvPicPr>
                      <a:picLocks noChangeArrowheads="1" noChangeAspect="1"/>
                    </pic:cNvPicPr>
                  </pic:nvPicPr>
                  <pic:blipFill>
                    <a:blip r:embed="rId53"/>
                    <a:stretch>
                      <a:fillRect/>
                    </a:stretch>
                  </pic:blipFill>
                  <pic:spPr bwMode="auto">
                    <a:xfrm>
                      <a:off x="0" y="0"/>
                      <a:ext cx="5334000" cy="2327563"/>
                    </a:xfrm>
                    <a:prstGeom prst="rect">
                      <a:avLst/>
                    </a:prstGeom>
                    <a:noFill/>
                    <a:ln w="9525">
                      <a:noFill/>
                      <a:headEnd/>
                      <a:tailEnd/>
                    </a:ln>
                  </pic:spPr>
                </pic:pic>
              </a:graphicData>
            </a:graphic>
          </wp:inline>
        </w:drawing>
      </w:r>
      <w:r>
        <w:t xml:space="preserve"> </w:t>
      </w:r>
      <w:r>
        <w:rPr>
          <w:iCs/>
          <w:i/>
        </w:rPr>
        <w:t xml:space="preserve">Figure 5: Side-by-Side Test Confusion Matrices for Frozen C3 Benchmark and Candidate D5 at</w:t>
      </w:r>
      <w:r>
        <w:rPr>
          <w:iCs/>
          <w:i/>
        </w:rPr>
        <w:t xml:space="preserve"> </w:t>
      </w:r>
      <m:oMath>
        <m:r>
          <m:t>τ</m:t>
        </m:r>
        <m:r>
          <m:rPr>
            <m:sty m:val="p"/>
          </m:rPr>
          <m:t>=</m:t>
        </m:r>
        <m:r>
          <m:t>0.50</m:t>
        </m:r>
      </m:oMath>
      <w:r>
        <w:rPr>
          <w:iCs/>
          <w:i/>
        </w:rPr>
        <w:t xml:space="preserve">.</w:t>
      </w:r>
    </w:p>
    <w:p>
      <w:pPr>
        <w:pStyle w:val="BodyText"/>
      </w:pPr>
      <w:r>
        <w:drawing>
          <wp:inline>
            <wp:extent cx="5334000" cy="4572000"/>
            <wp:effectExtent b="0" l="0" r="0" t="0"/>
            <wp:docPr descr="ROC Curves" title="" id="1" name="Picture"/>
            <a:graphic>
              <a:graphicData uri="http://schemas.openxmlformats.org/drawingml/2006/picture">
                <pic:pic>
                  <pic:nvPicPr>
                    <pic:cNvPr descr="figures/roc_curves_c3_vs_d5.png" id="0" name="Picture"/>
                    <pic:cNvPicPr>
                      <a:picLocks noChangeArrowheads="1" noChangeAspect="1"/>
                    </pic:cNvPicPr>
                  </pic:nvPicPr>
                  <pic:blipFill>
                    <a:blip r:embed="rId54"/>
                    <a:stretch>
                      <a:fillRect/>
                    </a:stretch>
                  </pic:blipFill>
                  <pic:spPr bwMode="auto">
                    <a:xfrm>
                      <a:off x="0" y="0"/>
                      <a:ext cx="5334000" cy="4572000"/>
                    </a:xfrm>
                    <a:prstGeom prst="rect">
                      <a:avLst/>
                    </a:prstGeom>
                    <a:noFill/>
                    <a:ln w="9525">
                      <a:noFill/>
                      <a:headEnd/>
                      <a:tailEnd/>
                    </a:ln>
                  </pic:spPr>
                </pic:pic>
              </a:graphicData>
            </a:graphic>
          </wp:inline>
        </w:drawing>
      </w:r>
      <w:r>
        <w:t xml:space="preserve"> </w:t>
      </w:r>
      <w:r>
        <w:rPr>
          <w:iCs/>
          <w:i/>
        </w:rPr>
        <w:t xml:space="preserve">Figure 6: Held-Out Test ROC Curves comparing C3 (AUC = 0.9036) and D5 (AUC = 0.8964).</w:t>
      </w:r>
    </w:p>
    <w:p>
      <w:pPr>
        <w:pStyle w:val="BodyText"/>
      </w:pPr>
      <w:r>
        <w:drawing>
          <wp:inline>
            <wp:extent cx="5334000" cy="4572000"/>
            <wp:effectExtent b="0" l="0" r="0" t="0"/>
            <wp:docPr descr="PR Curves" title="" id="1" name="Picture"/>
            <a:graphic>
              <a:graphicData uri="http://schemas.openxmlformats.org/drawingml/2006/picture">
                <pic:pic>
                  <pic:nvPicPr>
                    <pic:cNvPr descr="figures/pr_curves_c3_vs_d5.png" id="0" name="Picture"/>
                    <pic:cNvPicPr>
                      <a:picLocks noChangeArrowheads="1" noChangeAspect="1"/>
                    </pic:cNvPicPr>
                  </pic:nvPicPr>
                  <pic:blipFill>
                    <a:blip r:embed="rId55"/>
                    <a:stretch>
                      <a:fillRect/>
                    </a:stretch>
                  </pic:blipFill>
                  <pic:spPr bwMode="auto">
                    <a:xfrm>
                      <a:off x="0" y="0"/>
                      <a:ext cx="5334000" cy="4572000"/>
                    </a:xfrm>
                    <a:prstGeom prst="rect">
                      <a:avLst/>
                    </a:prstGeom>
                    <a:noFill/>
                    <a:ln w="9525">
                      <a:noFill/>
                      <a:headEnd/>
                      <a:tailEnd/>
                    </a:ln>
                  </pic:spPr>
                </pic:pic>
              </a:graphicData>
            </a:graphic>
          </wp:inline>
        </w:drawing>
      </w:r>
      <w:r>
        <w:t xml:space="preserve"> </w:t>
      </w:r>
      <w:r>
        <w:rPr>
          <w:iCs/>
          <w:i/>
        </w:rPr>
        <w:t xml:space="preserve">Figure 7: Held-Out Test Precision-Recall Curves for C3 (PR-AUC = 0.6188) and D5 (PR-AUC = 0.6151).</w:t>
      </w:r>
    </w:p>
    <w:p>
      <w:pPr>
        <w:pStyle w:val="BodyText"/>
      </w:pPr>
      <w:r>
        <w:drawing>
          <wp:inline>
            <wp:extent cx="5334000" cy="3911600"/>
            <wp:effectExtent b="0" l="0" r="0" t="0"/>
            <wp:docPr descr="Test Reliability" title="" id="1" name="Picture"/>
            <a:graphic>
              <a:graphicData uri="http://schemas.openxmlformats.org/drawingml/2006/picture">
                <pic:pic>
                  <pic:nvPicPr>
                    <pic:cNvPr descr="figures/reliability_curves_c3_vs_d5.png" id="0" name="Picture"/>
                    <pic:cNvPicPr>
                      <a:picLocks noChangeArrowheads="1" noChangeAspect="1"/>
                    </pic:cNvPicPr>
                  </pic:nvPicPr>
                  <pic:blipFill>
                    <a:blip r:embed="rId56"/>
                    <a:stretch>
                      <a:fillRect/>
                    </a:stretch>
                  </pic:blipFill>
                  <pic:spPr bwMode="auto">
                    <a:xfrm>
                      <a:off x="0" y="0"/>
                      <a:ext cx="5334000" cy="3911600"/>
                    </a:xfrm>
                    <a:prstGeom prst="rect">
                      <a:avLst/>
                    </a:prstGeom>
                    <a:noFill/>
                    <a:ln w="9525">
                      <a:noFill/>
                      <a:headEnd/>
                      <a:tailEnd/>
                    </a:ln>
                  </pic:spPr>
                </pic:pic>
              </a:graphicData>
            </a:graphic>
          </wp:inline>
        </w:drawing>
      </w:r>
      <w:r>
        <w:t xml:space="preserve"> </w:t>
      </w:r>
      <w:r>
        <w:rPr>
          <w:iCs/>
          <w:i/>
        </w:rPr>
        <w:t xml:space="preserve">Figure 8: Five-Bin Reliability Diagram and Calibration Comparison on Held-Out Test Data.</w:t>
      </w:r>
    </w:p>
    <w:bookmarkEnd w:id="57"/>
    <w:bookmarkStart w:id="59" w:name="paired-patient-level-analysis"/>
    <w:p>
      <w:pPr>
        <w:pStyle w:val="Heading3"/>
      </w:pPr>
      <w:r>
        <w:t xml:space="preserve">7.2 Paired Patient-Level Analysis</w:t>
      </w:r>
    </w:p>
    <w:p>
      <w:pPr>
        <w:pStyle w:val="FirstParagraph"/>
      </w:pPr>
      <w:r>
        <w:t xml:space="preserve">The paired</w:t>
      </w:r>
      <w:r>
        <w:t xml:space="preserve"> </w:t>
      </w:r>
      <m:oMath>
        <m:r>
          <m:t>2</m:t>
        </m:r>
        <m:r>
          <m:rPr>
            <m:sty m:val="p"/>
          </m:rPr>
          <m:t>×</m:t>
        </m:r>
        <m:r>
          <m:t>2</m:t>
        </m:r>
      </m:oMath>
      <w:r>
        <w:t xml:space="preserve"> </w:t>
      </w:r>
      <w:r>
        <w:t xml:space="preserve">contingency table comparing C3 and D5 classifications on the same 47 subjects is shown below:</w:t>
      </w:r>
    </w:p>
    <w:tbl>
      <w:tblPr>
        <w:tblStyle w:val="Table"/>
        <w:tblW w:type="pct" w:w="5000.0"/>
        <w:tblLook w:firstRow="1" w:lastRow="0" w:firstColumn="0" w:lastColumn="0" w:noHBand="0" w:noVBand="0" w:val="0020"/>
      </w:tblPr>
      <w:tblGrid>
        <w:gridCol w:w="1667"/>
        <w:gridCol w:w="2084"/>
        <w:gridCol w:w="2084"/>
        <w:gridCol w:w="2084"/>
      </w:tblGrid>
      <w:tr>
        <w:tc>
          <w:p>
            <w:pPr>
              <w:pStyle w:val="Compact"/>
              <w:jc w:val="left"/>
            </w:pPr>
            <w:r>
              <w:t xml:space="preserve">Classification Outcome</w:t>
            </w:r>
          </w:p>
        </w:tc>
        <w:tc>
          <w:p>
            <w:pPr>
              <w:pStyle w:val="Compact"/>
              <w:jc w:val="center"/>
            </w:pPr>
            <w:r>
              <w:t xml:space="preserve">Candidate D5 Correct</w:t>
            </w:r>
          </w:p>
        </w:tc>
        <w:tc>
          <w:p>
            <w:pPr>
              <w:pStyle w:val="Compact"/>
              <w:jc w:val="center"/>
            </w:pPr>
            <w:r>
              <w:t xml:space="preserve">Candidate D5 Incorrect</w:t>
            </w:r>
          </w:p>
        </w:tc>
        <w:tc>
          <w:p>
            <w:pPr>
              <w:pStyle w:val="Compact"/>
              <w:jc w:val="center"/>
            </w:pPr>
            <w:r>
              <w:t xml:space="preserve">Total C3 Classification</w:t>
            </w:r>
          </w:p>
        </w:tc>
      </w:tr>
      <w:tr>
        <w:tc>
          <w:p>
            <w:pPr>
              <w:pStyle w:val="Compact"/>
              <w:jc w:val="left"/>
            </w:pPr>
            <w:r>
              <w:rPr>
                <w:bCs/>
                <w:b/>
              </w:rPr>
              <w:t xml:space="preserve">Candidate C3 Correct</w:t>
            </w:r>
          </w:p>
        </w:tc>
        <w:tc>
          <w:p>
            <w:pPr>
              <w:pStyle w:val="Compact"/>
              <w:jc w:val="center"/>
            </w:pPr>
            <w:r>
              <w:rPr>
                <w:bCs/>
                <w:b/>
              </w:rPr>
              <w:t xml:space="preserve">38</w:t>
            </w:r>
            <w:r>
              <w:t xml:space="preserve"> </w:t>
            </w:r>
            <w:r>
              <w:t xml:space="preserve">(32 TN + 6 TP)</w:t>
            </w:r>
          </w:p>
        </w:tc>
        <w:tc>
          <w:p>
            <w:pPr>
              <w:pStyle w:val="Compact"/>
              <w:jc w:val="center"/>
            </w:pPr>
            <w:r>
              <w:rPr>
                <w:bCs/>
                <w:b/>
              </w:rPr>
              <w:t xml:space="preserve">2</w:t>
            </w:r>
            <w:r>
              <w:t xml:space="preserve"> </w:t>
            </w:r>
            <w:r>
              <w:t xml:space="preserve">(Cell</w:t>
            </w:r>
            <w:r>
              <w:t xml:space="preserve"> </w:t>
            </w:r>
            <m:oMath>
              <m:r>
                <m:t>b</m:t>
              </m:r>
            </m:oMath>
            <w:r>
              <w:t xml:space="preserve">)</w:t>
            </w:r>
          </w:p>
        </w:tc>
        <w:tc>
          <w:p>
            <w:pPr>
              <w:pStyle w:val="Compact"/>
              <w:jc w:val="center"/>
            </w:pPr>
            <w:r>
              <w:rPr>
                <w:bCs/>
                <w:b/>
              </w:rPr>
              <w:t xml:space="preserve">40</w:t>
            </w:r>
            <w:r>
              <w:t xml:space="preserve"> </w:t>
            </w:r>
            <w:r>
              <w:t xml:space="preserve">Correct (</w:t>
            </w:r>
            <m:oMath>
              <m:r>
                <m:t>85.11</m:t>
              </m:r>
              <m:r>
                <m:rPr>
                  <m:sty m:val="p"/>
                </m:rPr>
                <m:t>%</m:t>
              </m:r>
            </m:oMath>
            <w:r>
              <w:t xml:space="preserve">)</w:t>
            </w:r>
          </w:p>
        </w:tc>
      </w:tr>
      <w:tr>
        <w:tc>
          <w:p>
            <w:pPr>
              <w:pStyle w:val="Compact"/>
              <w:jc w:val="left"/>
            </w:pPr>
            <w:r>
              <w:rPr>
                <w:bCs/>
                <w:b/>
              </w:rPr>
              <w:t xml:space="preserve">Candidate C3 Incorrect</w:t>
            </w:r>
          </w:p>
        </w:tc>
        <w:tc>
          <w:p>
            <w:pPr>
              <w:pStyle w:val="Compact"/>
              <w:jc w:val="center"/>
            </w:pPr>
            <w:r>
              <w:rPr>
                <w:bCs/>
                <w:b/>
              </w:rPr>
              <w:t xml:space="preserve">0</w:t>
            </w:r>
            <w:r>
              <w:t xml:space="preserve"> </w:t>
            </w:r>
            <w:r>
              <w:t xml:space="preserve">(Cell</w:t>
            </w:r>
            <w:r>
              <w:t xml:space="preserve"> </w:t>
            </w:r>
            <m:oMath>
              <m:r>
                <m:t>c</m:t>
              </m:r>
            </m:oMath>
            <w:r>
              <w:t xml:space="preserve">)</w:t>
            </w:r>
          </w:p>
        </w:tc>
        <w:tc>
          <w:p>
            <w:pPr>
              <w:pStyle w:val="Compact"/>
              <w:jc w:val="center"/>
            </w:pPr>
            <w:r>
              <w:rPr>
                <w:bCs/>
                <w:b/>
              </w:rPr>
              <w:t xml:space="preserve">7</w:t>
            </w:r>
            <w:r>
              <w:t xml:space="preserve"> </w:t>
            </w:r>
            <w:r>
              <w:t xml:space="preserve">(6 FP + 1 FN)</w:t>
            </w:r>
          </w:p>
        </w:tc>
        <w:tc>
          <w:p>
            <w:pPr>
              <w:pStyle w:val="Compact"/>
              <w:jc w:val="center"/>
            </w:pPr>
            <w:r>
              <w:rPr>
                <w:bCs/>
                <w:b/>
              </w:rPr>
              <w:t xml:space="preserve">7</w:t>
            </w:r>
            <w:r>
              <w:t xml:space="preserve"> </w:t>
            </w:r>
            <w:r>
              <w:t xml:space="preserve">Incorrect (</w:t>
            </w:r>
            <m:oMath>
              <m:r>
                <m:t>14.89</m:t>
              </m:r>
              <m:r>
                <m:rPr>
                  <m:sty m:val="p"/>
                </m:rPr>
                <m:t>%</m:t>
              </m:r>
            </m:oMath>
            <w:r>
              <w:t xml:space="preserve">)</w:t>
            </w:r>
          </w:p>
        </w:tc>
      </w:tr>
      <w:tr>
        <w:tc>
          <w:p>
            <w:pPr>
              <w:pStyle w:val="Compact"/>
              <w:jc w:val="left"/>
            </w:pPr>
            <w:r>
              <w:rPr>
                <w:bCs/>
                <w:b/>
              </w:rPr>
              <w:t xml:space="preserve">Total D5 Classification</w:t>
            </w:r>
          </w:p>
        </w:tc>
        <w:tc>
          <w:p>
            <w:pPr>
              <w:pStyle w:val="Compact"/>
              <w:jc w:val="center"/>
            </w:pPr>
            <w:r>
              <w:rPr>
                <w:bCs/>
                <w:b/>
              </w:rPr>
              <w:t xml:space="preserve">38</w:t>
            </w:r>
            <w:r>
              <w:t xml:space="preserve"> </w:t>
            </w:r>
            <w:r>
              <w:t xml:space="preserve">Correct (</w:t>
            </w:r>
            <m:oMath>
              <m:r>
                <m:t>80.85</m:t>
              </m:r>
              <m:r>
                <m:rPr>
                  <m:sty m:val="p"/>
                </m:rPr>
                <m:t>%</m:t>
              </m:r>
            </m:oMath>
            <w:r>
              <w:t xml:space="preserve">)</w:t>
            </w:r>
          </w:p>
        </w:tc>
        <w:tc>
          <w:p>
            <w:pPr>
              <w:pStyle w:val="Compact"/>
              <w:jc w:val="center"/>
            </w:pPr>
            <w:r>
              <w:rPr>
                <w:bCs/>
                <w:b/>
              </w:rPr>
              <w:t xml:space="preserve">9</w:t>
            </w:r>
            <w:r>
              <w:t xml:space="preserve"> </w:t>
            </w:r>
            <w:r>
              <w:t xml:space="preserve">Incorrect (</w:t>
            </w:r>
            <m:oMath>
              <m:r>
                <m:t>19.15</m:t>
              </m:r>
              <m:r>
                <m:rPr>
                  <m:sty m:val="p"/>
                </m:rPr>
                <m:t>%</m:t>
              </m:r>
            </m:oMath>
            <w:r>
              <w:t xml:space="preserve">)</w:t>
            </w:r>
          </w:p>
        </w:tc>
        <w:tc>
          <w:p>
            <w:pPr>
              <w:pStyle w:val="Compact"/>
              <w:jc w:val="center"/>
            </w:pPr>
            <w:r>
              <w:rPr>
                <w:bCs/>
                <w:b/>
              </w:rPr>
              <w:t xml:space="preserve">47 Total Patients</w:t>
            </w:r>
          </w:p>
        </w:tc>
      </w:tr>
    </w:tbl>
    <w:p>
      <w:pPr>
        <w:numPr>
          <w:ilvl w:val="0"/>
          <w:numId w:val="1002"/>
        </w:numPr>
        <w:pStyle w:val="Compact"/>
      </w:pPr>
      <w:r>
        <w:rPr>
          <w:bCs/>
          <w:b/>
        </w:rPr>
        <w:t xml:space="preserve">Agreement:</w:t>
      </w:r>
      <w:r>
        <w:t xml:space="preserve"> </w:t>
      </w:r>
      <w:r>
        <w:t xml:space="preserve">45 of 47 patients (</w:t>
      </w:r>
      <m:oMath>
        <m:r>
          <m:t>95.74</m:t>
        </m:r>
        <m:r>
          <m:rPr>
            <m:sty m:val="p"/>
          </m:rPr>
          <m:t>%</m:t>
        </m:r>
      </m:oMath>
      <w:r>
        <w:rPr>
          <w:bCs/>
          <w:b/>
        </w:rPr>
        <w:t xml:space="preserve"> </w:t>
      </w:r>
      <w:r>
        <w:rPr>
          <w:bCs/>
          <w:b/>
        </w:rPr>
        <w:t xml:space="preserve">concordance</w:t>
      </w:r>
      <w:r>
        <w:t xml:space="preserve">).</w:t>
      </w:r>
    </w:p>
    <w:p>
      <w:pPr>
        <w:numPr>
          <w:ilvl w:val="0"/>
          <w:numId w:val="1002"/>
        </w:numPr>
        <w:pStyle w:val="Compact"/>
      </w:pPr>
      <w:r>
        <w:rPr>
          <w:bCs/>
          <w:b/>
        </w:rPr>
        <w:t xml:space="preserve">Disagreement:</w:t>
      </w:r>
      <w:r>
        <w:t xml:space="preserve"> </w:t>
      </w:r>
      <w:r>
        <w:t xml:space="preserve">2 of 47 patients (</w:t>
      </w:r>
      <m:oMath>
        <m:r>
          <m:t>4.26</m:t>
        </m:r>
        <m:r>
          <m:rPr>
            <m:sty m:val="p"/>
          </m:rPr>
          <m:t>%</m:t>
        </m:r>
      </m:oMath>
      <w:r>
        <w:rPr>
          <w:bCs/>
          <w:b/>
        </w:rPr>
        <w:t xml:space="preserve"> </w:t>
      </w:r>
      <w:r>
        <w:rPr>
          <w:bCs/>
          <w:b/>
        </w:rPr>
        <w:t xml:space="preserve">discordance</w:t>
      </w:r>
      <w:r>
        <w:t xml:space="preserve">).</w:t>
      </w:r>
    </w:p>
    <w:p>
      <w:pPr>
        <w:numPr>
          <w:ilvl w:val="0"/>
          <w:numId w:val="1002"/>
        </w:numPr>
        <w:pStyle w:val="Compact"/>
      </w:pPr>
      <w:r>
        <w:rPr>
          <w:bCs/>
          <w:b/>
        </w:rPr>
        <w:t xml:space="preserve">McNemar’s Exact Two-Sided Binomial Test [19]:</w:t>
      </w:r>
      <w:r>
        <w:t xml:space="preserve"> </w:t>
      </w:r>
      <w:r>
        <w:t xml:space="preserve">With</w:t>
      </w:r>
      <w:r>
        <w:t xml:space="preserve"> </w:t>
      </w:r>
      <m:oMath>
        <m:r>
          <m:t>b</m:t>
        </m:r>
        <m:r>
          <m:rPr>
            <m:sty m:val="p"/>
          </m:rPr>
          <m:t>=</m:t>
        </m:r>
        <m:r>
          <m:t>2</m:t>
        </m:r>
      </m:oMath>
      <w:r>
        <w:t xml:space="preserve"> </w:t>
      </w:r>
      <w:r>
        <w:t xml:space="preserve">and</w:t>
      </w:r>
      <w:r>
        <w:t xml:space="preserve"> </w:t>
      </w:r>
      <m:oMath>
        <m:r>
          <m:t>c</m:t>
        </m:r>
        <m:r>
          <m:rPr>
            <m:sty m:val="p"/>
          </m:rPr>
          <m:t>=</m:t>
        </m:r>
        <m:r>
          <m:t>0</m:t>
        </m:r>
      </m:oMath>
      <w:r>
        <w:t xml:space="preserve">,</w:t>
      </w:r>
      <w:r>
        <w:t xml:space="preserve"> </w:t>
      </w:r>
      <m:oMath>
        <m:r>
          <m:t>p</m:t>
        </m:r>
        <m:r>
          <m:rPr>
            <m:sty m:val="p"/>
          </m:rPr>
          <m:t>=</m:t>
        </m:r>
        <m:r>
          <m:t>2</m:t>
        </m:r>
        <m:r>
          <m:rPr>
            <m:sty m:val="p"/>
          </m:rPr>
          <m:t>×</m:t>
        </m:r>
        <m:r>
          <m:rPr>
            <m:sty m:val="p"/>
          </m:rPr>
          <m:t>(</m:t>
        </m:r>
        <m:r>
          <m:t>0.5</m:t>
        </m:r>
        <m:sSup>
          <m:e>
            <m:r>
              <m:rPr>
                <m:sty m:val="p"/>
              </m:rPr>
              <m:t>)</m:t>
            </m:r>
          </m:e>
          <m:sup>
            <m:r>
              <m:t>2</m:t>
            </m:r>
          </m:sup>
        </m:sSup>
        <m:r>
          <m:rPr>
            <m:sty m:val="p"/>
          </m:rPr>
          <m:t>=</m:t>
        </m:r>
        <m:r>
          <m:rPr>
            <m:sty m:val="b"/>
          </m:rPr>
          <m:t>0.5000</m:t>
        </m:r>
      </m:oMath>
      <w:r>
        <w:t xml:space="preserve">. The performance difference is</w:t>
      </w:r>
      <w:r>
        <w:t xml:space="preserve"> </w:t>
      </w:r>
      <w:r>
        <w:rPr>
          <w:bCs/>
          <w:b/>
        </w:rPr>
        <w:t xml:space="preserve">statistically non-significant</w:t>
      </w:r>
      <w:r>
        <w:t xml:space="preserve">.</w:t>
      </w:r>
    </w:p>
    <w:p>
      <w:pPr>
        <w:numPr>
          <w:ilvl w:val="0"/>
          <w:numId w:val="1002"/>
        </w:numPr>
        <w:pStyle w:val="Compact"/>
      </w:pPr>
      <w:r>
        <w:rPr>
          <w:bCs/>
          <w:b/>
        </w:rPr>
        <w:t xml:space="preserve">Wilcoxon Paired Signed-Rank Test [20]:</w:t>
      </w:r>
      <w:r>
        <w:t xml:space="preserve"> </w:t>
      </w:r>
      <m:oMath>
        <m:r>
          <m:t>W</m:t>
        </m:r>
        <m:r>
          <m:rPr>
            <m:sty m:val="p"/>
          </m:rPr>
          <m:t>=</m:t>
        </m:r>
        <m:r>
          <m:t>314.0</m:t>
        </m:r>
        <m:r>
          <m:rPr>
            <m:sty m:val="p"/>
          </m:rPr>
          <m:t>,</m:t>
        </m:r>
        <m:r>
          <m:t>p</m:t>
        </m:r>
        <m:r>
          <m:rPr>
            <m:sty m:val="p"/>
          </m:rPr>
          <m:t>=</m:t>
        </m:r>
        <m:r>
          <m:t>0.0074</m:t>
        </m:r>
      </m:oMath>
      <w:r>
        <w:t xml:space="preserve">. While D5 produces a slight systematic upward shift in probabilities (</w:t>
      </w:r>
      <m:oMath>
        <m:r>
          <m:rPr>
            <m:nor/>
            <m:sty m:val="p"/>
          </m:rPr>
          <m:t>mean </m:t>
        </m:r>
        <m:r>
          <m:t>Δ</m:t>
        </m:r>
        <m:r>
          <m:t>p</m:t>
        </m:r>
        <m:r>
          <m:rPr>
            <m:sty m:val="p"/>
          </m:rPr>
          <m:t>=</m:t>
        </m:r>
        <m:r>
          <m:rPr>
            <m:sty m:val="p"/>
          </m:rPr>
          <m:t>+</m:t>
        </m:r>
        <m:r>
          <m:t>0.0409</m:t>
        </m:r>
      </m:oMath>
      <w:r>
        <w:t xml:space="preserve">), this shift provided zero diagnostic benefit on positive malignancies while pushing two negative cases across the decision boundary.</w:t>
      </w:r>
    </w:p>
    <w:p>
      <w:pPr>
        <w:pStyle w:val="FirstParagraph"/>
      </w:pPr>
      <w:r>
        <w:t xml:space="preserve">The continuous probability distribution and patient discordances are visualized in</w:t>
      </w:r>
      <w:r>
        <w:t xml:space="preserve"> </w:t>
      </w:r>
      <w:r>
        <w:rPr>
          <w:bCs/>
          <w:b/>
        </w:rPr>
        <w:t xml:space="preserve">Figure 9</w:t>
      </w:r>
      <w:r>
        <w:t xml:space="preserve">:</w:t>
      </w:r>
    </w:p>
    <w:p>
      <w:pPr>
        <w:pStyle w:val="BodyText"/>
      </w:pPr>
      <w:r>
        <w:drawing>
          <wp:inline>
            <wp:extent cx="5334000" cy="4333875"/>
            <wp:effectExtent b="0" l="0" r="0" t="0"/>
            <wp:docPr descr="Paired Scatter" title="" id="1" name="Picture"/>
            <a:graphic>
              <a:graphicData uri="http://schemas.openxmlformats.org/drawingml/2006/picture">
                <pic:pic>
                  <pic:nvPicPr>
                    <pic:cNvPr descr="figures/paired_prediction_scatter.png" id="0" name="Picture"/>
                    <pic:cNvPicPr>
                      <a:picLocks noChangeArrowheads="1" noChangeAspect="1"/>
                    </pic:cNvPicPr>
                  </pic:nvPicPr>
                  <pic:blipFill>
                    <a:blip r:embed="rId58"/>
                    <a:stretch>
                      <a:fillRect/>
                    </a:stretch>
                  </pic:blipFill>
                  <pic:spPr bwMode="auto">
                    <a:xfrm>
                      <a:off x="0" y="0"/>
                      <a:ext cx="5334000" cy="4333875"/>
                    </a:xfrm>
                    <a:prstGeom prst="rect">
                      <a:avLst/>
                    </a:prstGeom>
                    <a:noFill/>
                    <a:ln w="9525">
                      <a:noFill/>
                      <a:headEnd/>
                      <a:tailEnd/>
                    </a:ln>
                  </pic:spPr>
                </pic:pic>
              </a:graphicData>
            </a:graphic>
          </wp:inline>
        </w:drawing>
      </w:r>
      <w:r>
        <w:t xml:space="preserve"> </w:t>
      </w:r>
      <w:r>
        <w:rPr>
          <w:iCs/>
          <w:i/>
        </w:rPr>
        <w:t xml:space="preserve">Figure 9: Paired Continuous Prediction Dynamics: C3 vs. D5 on Held-Out Test Cohort (</w:t>
      </w:r>
      <m:oMath>
        <m:r>
          <m:t>N</m:t>
        </m:r>
        <m:r>
          <m:rPr>
            <m:sty m:val="p"/>
          </m:rPr>
          <m:t>=</m:t>
        </m:r>
        <m:r>
          <m:t>47</m:t>
        </m:r>
      </m:oMath>
      <w:r>
        <w:rPr>
          <w:iCs/>
          <w:i/>
        </w:rPr>
        <w:t xml:space="preserve">). Cross markers highlight the two discordant benign patients (Discordant Case A and Discordant Case B).</w:t>
      </w:r>
    </w:p>
    <w:bookmarkEnd w:id="59"/>
    <w:bookmarkStart w:id="60" w:name="detailed-patient-audits"/>
    <w:p>
      <w:pPr>
        <w:pStyle w:val="Heading3"/>
      </w:pPr>
      <w:r>
        <w:t xml:space="preserve">7.3 Detailed Patient Audits</w:t>
      </w:r>
    </w:p>
    <w:p>
      <w:pPr>
        <w:numPr>
          <w:ilvl w:val="0"/>
          <w:numId w:val="1003"/>
        </w:numPr>
        <w:pStyle w:val="Compact"/>
      </w:pPr>
      <w:r>
        <w:rPr>
          <w:bCs/>
          <w:b/>
        </w:rPr>
        <w:t xml:space="preserve">Discordant Case A (True Negative, BI-RADS 1):</w:t>
      </w:r>
      <w:r>
        <w:br/>
      </w:r>
      <w:r>
        <w:t xml:space="preserve">C3 predicted</w:t>
      </w:r>
      <w:r>
        <w:t xml:space="preserve"> </w:t>
      </w:r>
      <m:oMath>
        <m:r>
          <m:t>p</m:t>
        </m:r>
        <m:r>
          <m:rPr>
            <m:sty m:val="p"/>
          </m:rPr>
          <m:t>=</m:t>
        </m:r>
        <m:r>
          <m:t>0.4810</m:t>
        </m:r>
      </m:oMath>
      <w:r>
        <w:t xml:space="preserve"> </w:t>
      </w:r>
      <w:r>
        <w:t xml:space="preserve">(True Negative)</w:t>
      </w:r>
      <w:r>
        <w:t xml:space="preserve"> </w:t>
      </w:r>
      <m:oMath>
        <m:r>
          <m:rPr>
            <m:sty m:val="p"/>
          </m:rPr>
          <m:t>→</m:t>
        </m:r>
      </m:oMath>
      <w:r>
        <w:t xml:space="preserve"> </w:t>
      </w:r>
      <w:r>
        <w:t xml:space="preserve">D5 predicted</w:t>
      </w:r>
      <w:r>
        <w:t xml:space="preserve"> </w:t>
      </w:r>
      <m:oMath>
        <m:r>
          <m:t>p</m:t>
        </m:r>
        <m:r>
          <m:rPr>
            <m:sty m:val="p"/>
          </m:rPr>
          <m:t>=</m:t>
        </m:r>
        <m:r>
          <m:t>0.5240</m:t>
        </m:r>
      </m:oMath>
      <w:r>
        <w:t xml:space="preserve"> </w:t>
      </w:r>
      <w:r>
        <w:t xml:space="preserve">(False Positive). A minor shift of</w:t>
      </w:r>
      <w:r>
        <w:t xml:space="preserve"> </w:t>
      </w:r>
      <m:oMath>
        <m:r>
          <m:rPr>
            <m:sty m:val="p"/>
          </m:rPr>
          <m:t>+</m:t>
        </m:r>
        <m:r>
          <m:t>0.0430</m:t>
        </m:r>
      </m:oMath>
      <w:r>
        <w:t xml:space="preserve"> </w:t>
      </w:r>
      <w:r>
        <w:t xml:space="preserve">across the</w:t>
      </w:r>
      <w:r>
        <w:t xml:space="preserve"> </w:t>
      </w:r>
      <m:oMath>
        <m:r>
          <m:t>0.50</m:t>
        </m:r>
      </m:oMath>
      <w:r>
        <w:t xml:space="preserve"> </w:t>
      </w:r>
      <w:r>
        <w:t xml:space="preserve">boundary caused a false alarm.</w:t>
      </w:r>
    </w:p>
    <w:p>
      <w:pPr>
        <w:numPr>
          <w:ilvl w:val="0"/>
          <w:numId w:val="1003"/>
        </w:numPr>
        <w:pStyle w:val="Compact"/>
      </w:pPr>
      <w:r>
        <w:rPr>
          <w:bCs/>
          <w:b/>
        </w:rPr>
        <w:t xml:space="preserve">Discordant Case B (True Negative, BI-RADS 2):</w:t>
      </w:r>
      <w:r>
        <w:br/>
      </w:r>
      <w:r>
        <w:t xml:space="preserve">C3 predicted</w:t>
      </w:r>
      <w:r>
        <w:t xml:space="preserve"> </w:t>
      </w:r>
      <m:oMath>
        <m:r>
          <m:t>p</m:t>
        </m:r>
        <m:r>
          <m:rPr>
            <m:sty m:val="p"/>
          </m:rPr>
          <m:t>=</m:t>
        </m:r>
        <m:r>
          <m:t>0.4539</m:t>
        </m:r>
      </m:oMath>
      <w:r>
        <w:t xml:space="preserve"> </w:t>
      </w:r>
      <w:r>
        <w:t xml:space="preserve">(True Negative)</w:t>
      </w:r>
      <w:r>
        <w:t xml:space="preserve"> </w:t>
      </w:r>
      <m:oMath>
        <m:r>
          <m:rPr>
            <m:sty m:val="p"/>
          </m:rPr>
          <m:t>→</m:t>
        </m:r>
      </m:oMath>
      <w:r>
        <w:t xml:space="preserve"> </w:t>
      </w:r>
      <w:r>
        <w:t xml:space="preserve">D5 predicted</w:t>
      </w:r>
      <w:r>
        <w:t xml:space="preserve"> </w:t>
      </w:r>
      <m:oMath>
        <m:r>
          <m:t>p</m:t>
        </m:r>
        <m:r>
          <m:rPr>
            <m:sty m:val="p"/>
          </m:rPr>
          <m:t>=</m:t>
        </m:r>
        <m:r>
          <m:t>0.5190</m:t>
        </m:r>
      </m:oMath>
      <w:r>
        <w:t xml:space="preserve"> </w:t>
      </w:r>
      <w:r>
        <w:t xml:space="preserve">(False Positive). A shift of</w:t>
      </w:r>
      <w:r>
        <w:t xml:space="preserve"> </w:t>
      </w:r>
      <m:oMath>
        <m:r>
          <m:rPr>
            <m:sty m:val="p"/>
          </m:rPr>
          <m:t>+</m:t>
        </m:r>
        <m:r>
          <m:t>0.0651</m:t>
        </m:r>
      </m:oMath>
      <w:r>
        <w:t xml:space="preserve"> </w:t>
      </w:r>
      <w:r>
        <w:t xml:space="preserve">caused a false alarm.</w:t>
      </w:r>
    </w:p>
    <w:p>
      <w:pPr>
        <w:numPr>
          <w:ilvl w:val="0"/>
          <w:numId w:val="1003"/>
        </w:numPr>
        <w:pStyle w:val="Compact"/>
      </w:pPr>
      <w:r>
        <w:rPr>
          <w:bCs/>
          <w:b/>
        </w:rPr>
        <w:t xml:space="preserve">Mutual False-Negative Case C (True Suspicious, BI-RADS 5):</w:t>
      </w:r>
      <w:r>
        <w:br/>
      </w:r>
      <w:r>
        <w:t xml:space="preserve">Both models missed this single malignant case: C3 assigned</w:t>
      </w:r>
      <w:r>
        <w:t xml:space="preserve"> </w:t>
      </w:r>
      <m:oMath>
        <m:r>
          <m:t>p</m:t>
        </m:r>
        <m:r>
          <m:rPr>
            <m:sty m:val="p"/>
          </m:rPr>
          <m:t>=</m:t>
        </m:r>
        <m:r>
          <m:t>0.3001</m:t>
        </m:r>
      </m:oMath>
      <w:r>
        <w:t xml:space="preserve">, while D5 assigned</w:t>
      </w:r>
      <w:r>
        <w:t xml:space="preserve"> </w:t>
      </w:r>
      <m:oMath>
        <m:r>
          <m:t>p</m:t>
        </m:r>
        <m:r>
          <m:rPr>
            <m:sty m:val="p"/>
          </m:rPr>
          <m:t>=</m:t>
        </m:r>
        <m:r>
          <m:t>0.3667</m:t>
        </m:r>
      </m:oMath>
      <w:r>
        <w:t xml:space="preserve">. Although D5 increased the probability by</w:t>
      </w:r>
      <w:r>
        <w:t xml:space="preserve"> </w:t>
      </w:r>
      <m:oMath>
        <m:r>
          <m:rPr>
            <m:sty m:val="p"/>
          </m:rPr>
          <m:t>+</m:t>
        </m:r>
        <m:r>
          <m:t>0.0666</m:t>
        </m:r>
      </m:oMath>
      <w:r>
        <w:t xml:space="preserve">, it remained well below the</w:t>
      </w:r>
      <w:r>
        <w:t xml:space="preserve"> </w:t>
      </w:r>
      <m:oMath>
        <m:r>
          <m:t>0.50</m:t>
        </m:r>
      </m:oMath>
      <w:r>
        <w:t xml:space="preserve"> </w:t>
      </w:r>
      <w:r>
        <w:t xml:space="preserve">triage threshold.</w:t>
      </w:r>
    </w:p>
    <w:p>
      <w:r>
        <w:pict>
          <v:rect style="width:0;height:1.5pt" o:hralign="center" o:hrstd="t" o:hr="t"/>
        </w:pict>
      </w:r>
    </w:p>
    <w:bookmarkEnd w:id="60"/>
    <w:bookmarkEnd w:id="61"/>
    <w:bookmarkStart w:id="64" w:name="Xebe8e45a38f01dc7735adbb572f809234a19c23"/>
    <w:p>
      <w:pPr>
        <w:pStyle w:val="Heading2"/>
      </w:pPr>
      <w:r>
        <w:t xml:space="preserve">8. Forensic Audit &amp; Reconciliation of Historical Results</w:t>
      </w:r>
    </w:p>
    <w:p>
      <w:pPr>
        <w:pStyle w:val="FirstParagraph"/>
      </w:pPr>
      <w:r>
        <w:t xml:space="preserve">Prior reports contained conflicting test metrics for the original Multimodal GIT models. A complete forensic audit of all physical checkpoints, prediction files, and evaluation scripts was conducted (detailed in</w:t>
      </w:r>
      <w:r>
        <w:t xml:space="preserve"> </w:t>
      </w:r>
      <w:hyperlink r:id="rId62">
        <w:r>
          <w:rPr>
            <w:rStyle w:val="VerbatimChar"/>
          </w:rPr>
          <w:t xml:space="preserve">historical_metric_reconciliation.md</w:t>
        </w:r>
      </w:hyperlink>
      <w:r>
        <w:t xml:space="preserve">):</w:t>
      </w:r>
    </w:p>
    <w:p>
      <w:pPr>
        <w:pStyle w:val="SourceCode"/>
      </w:pPr>
      <w:r>
        <w:rPr>
          <w:rStyle w:val="VerbatimChar"/>
        </w:rPr>
        <w:t xml:space="preserve">+--------------------------------------------------------------------------------------------------+</w:t>
      </w:r>
      <w:r>
        <w:br/>
      </w:r>
      <w:r>
        <w:rPr>
          <w:rStyle w:val="VerbatimChar"/>
        </w:rPr>
        <w:t xml:space="preserve">|                            HISTORICAL GIT METRIC RECONCILIATION AUDIT                            |</w:t>
      </w:r>
      <w:r>
        <w:br/>
      </w:r>
      <w:r>
        <w:rPr>
          <w:rStyle w:val="VerbatimChar"/>
        </w:rPr>
        <w:t xml:space="preserve">+--------------------------+-----------------------+-----------------------+-----------------------+</w:t>
      </w:r>
      <w:r>
        <w:br/>
      </w:r>
      <w:r>
        <w:rPr>
          <w:rStyle w:val="VerbatimChar"/>
        </w:rPr>
        <w:t xml:space="preserve">| Model / Source           | Actual Prediction CSV | Hardcoded Phase C     | Resolution Status     |</w:t>
      </w:r>
      <w:r>
        <w:br/>
      </w:r>
      <w:r>
        <w:rPr>
          <w:rStyle w:val="VerbatimChar"/>
        </w:rPr>
        <w:t xml:space="preserve">+--------------------------+-----------------------+-----------------------+-----------------------+</w:t>
      </w:r>
      <w:r>
        <w:br/>
      </w:r>
      <w:r>
        <w:rPr>
          <w:rStyle w:val="VerbatimChar"/>
        </w:rPr>
        <w:t xml:space="preserve">| GIT 1 ROC-AUC            | 0.8857                | 0.8679                | Transcription Error   |</w:t>
      </w:r>
      <w:r>
        <w:br/>
      </w:r>
      <w:r>
        <w:rPr>
          <w:rStyle w:val="VerbatimChar"/>
        </w:rPr>
        <w:t xml:space="preserve">| GIT 1 PR-AUC             | 0.5729                | 0.6800                | Transcription Error   |</w:t>
      </w:r>
      <w:r>
        <w:br/>
      </w:r>
      <w:r>
        <w:rPr>
          <w:rStyle w:val="VerbatimChar"/>
        </w:rPr>
        <w:t xml:space="preserve">| GIT 1 Confusion Matrix   | [34, 6, 2, 5]         | [34, 6, 2, 5]         | Verified Match        |</w:t>
      </w:r>
      <w:r>
        <w:br/>
      </w:r>
      <w:r>
        <w:rPr>
          <w:rStyle w:val="VerbatimChar"/>
        </w:rPr>
        <w:t xml:space="preserve">| GIT 1 Accuracy           | 82.98% (39/47)        | 82.98% (39/47)        | Verified Match        |</w:t>
      </w:r>
      <w:r>
        <w:br/>
      </w:r>
      <w:r>
        <w:rPr>
          <w:rStyle w:val="VerbatimChar"/>
        </w:rPr>
        <w:t xml:space="preserve">+--------------------------+-----------------------+-----------------------+-----------------------+</w:t>
      </w:r>
      <w:r>
        <w:br/>
      </w:r>
      <w:r>
        <w:rPr>
          <w:rStyle w:val="VerbatimChar"/>
        </w:rPr>
        <w:t xml:space="preserve">| GIT 2 ROC-AUC            | 0.8321                | 0.8429                | Transcription Error   |</w:t>
      </w:r>
      <w:r>
        <w:br/>
      </w:r>
      <w:r>
        <w:rPr>
          <w:rStyle w:val="VerbatimChar"/>
        </w:rPr>
        <w:t xml:space="preserve">| GIT 2 PR-AUC             | 0.4048                | 0.5739                | Transcription Error   |</w:t>
      </w:r>
      <w:r>
        <w:br/>
      </w:r>
      <w:r>
        <w:rPr>
          <w:rStyle w:val="VerbatimChar"/>
        </w:rPr>
        <w:t xml:space="preserve">| GIT 2 Confusion Matrix   | [23, 17, 0, 7]        | [23, 17, 0, 7]        | Verified Match        |</w:t>
      </w:r>
      <w:r>
        <w:br/>
      </w:r>
      <w:r>
        <w:rPr>
          <w:rStyle w:val="VerbatimChar"/>
        </w:rPr>
        <w:t xml:space="preserve">| GIT 2 Accuracy           | 63.83% (30/47)        | 63.83% (30/47)        | Verified Match        |</w:t>
      </w:r>
      <w:r>
        <w:br/>
      </w:r>
      <w:r>
        <w:rPr>
          <w:rStyle w:val="VerbatimChar"/>
        </w:rPr>
        <w:t xml:space="preserve">+--------------------------+-----------------------+-----------------------+-----------------------+</w:t>
      </w:r>
      <w:r>
        <w:br/>
      </w:r>
      <w:r>
        <w:rPr>
          <w:rStyle w:val="VerbatimChar"/>
        </w:rPr>
        <w:t xml:space="preserve">| Candidate C3 Benchmark   | 0.9036 / 0.6188       | 0.9036 / 0.6188       | 100% Bit-Exact Match  |</w:t>
      </w:r>
      <w:r>
        <w:br/>
      </w:r>
      <w:r>
        <w:rPr>
          <w:rStyle w:val="VerbatimChar"/>
        </w:rPr>
        <w:t xml:space="preserve">+--------------------------+-----------------------+-----------------------+-----------------------+</w:t>
      </w:r>
    </w:p>
    <w:bookmarkStart w:id="63" w:name="forensic-explanation"/>
    <w:p>
      <w:pPr>
        <w:pStyle w:val="Heading3"/>
      </w:pPr>
      <w:r>
        <w:t xml:space="preserve">Forensic Explanation:</w:t>
      </w:r>
    </w:p>
    <w:p>
      <w:pPr>
        <w:numPr>
          <w:ilvl w:val="0"/>
          <w:numId w:val="1004"/>
        </w:numPr>
        <w:pStyle w:val="Compact"/>
      </w:pPr>
      <w:r>
        <w:t xml:space="preserve">In Phase C,</w:t>
      </w:r>
      <w:r>
        <w:t xml:space="preserve"> </w:t>
      </w:r>
      <w:r>
        <w:rPr>
          <w:rStyle w:val="VerbatimChar"/>
        </w:rPr>
        <w:t xml:space="preserve">scripts/evaluate_phase_c.py</w:t>
      </w:r>
      <w:r>
        <w:t xml:space="preserve"> </w:t>
      </w:r>
      <w:r>
        <w:t xml:space="preserve">computed inference dynamically for C3 and C4, but imported historical GIT 1 and GIT 2 rows via a</w:t>
      </w:r>
      <w:r>
        <w:t xml:space="preserve"> </w:t>
      </w:r>
      <w:r>
        <w:rPr>
          <w:bCs/>
          <w:b/>
        </w:rPr>
        <w:t xml:space="preserve">hardcoded dictionary</w:t>
      </w:r>
      <w:r>
        <w:t xml:space="preserve"> </w:t>
      </w:r>
      <w:r>
        <w:t xml:space="preserve">(</w:t>
      </w:r>
      <w:r>
        <w:rPr>
          <w:rStyle w:val="VerbatimChar"/>
        </w:rPr>
        <w:t xml:space="preserve">lines 357–411</w:t>
      </w:r>
      <w:r>
        <w:t xml:space="preserve">). During composition, discrete classification counts were transcribed correctly, but continuous ranking metrics (ROC-AUC and PR-AUC) were copied from unversioned preliminary exploratory runs.</w:t>
      </w:r>
    </w:p>
    <w:p>
      <w:pPr>
        <w:numPr>
          <w:ilvl w:val="0"/>
          <w:numId w:val="1004"/>
        </w:numPr>
        <w:pStyle w:val="Compact"/>
      </w:pPr>
      <w:r>
        <w:t xml:space="preserve">The actual physical prediction CSVs from Phase 5 yield</w:t>
      </w:r>
      <w:r>
        <w:t xml:space="preserve"> </w:t>
      </w:r>
      <m:oMath>
        <m:r>
          <m:rPr>
            <m:nor/>
            <m:sty m:val="p"/>
          </m:rPr>
          <m:t>ROC-AUC</m:t>
        </m:r>
        <m:r>
          <m:rPr>
            <m:sty m:val="p"/>
          </m:rPr>
          <m:t>=</m:t>
        </m:r>
        <m:r>
          <m:t>0.8857</m:t>
        </m:r>
      </m:oMath>
      <w:r>
        <w:t xml:space="preserve"> </w:t>
      </w:r>
      <w:r>
        <w:t xml:space="preserve">and</w:t>
      </w:r>
      <w:r>
        <w:t xml:space="preserve"> </w:t>
      </w:r>
      <m:oMath>
        <m:r>
          <m:rPr>
            <m:nor/>
            <m:sty m:val="p"/>
          </m:rPr>
          <m:t>PR-AUC</m:t>
        </m:r>
        <m:r>
          <m:rPr>
            <m:sty m:val="p"/>
          </m:rPr>
          <m:t>=</m:t>
        </m:r>
        <m:r>
          <m:t>0.5729</m:t>
        </m:r>
      </m:oMath>
      <w:r>
        <w:t xml:space="preserve"> </w:t>
      </w:r>
      <w:r>
        <w:t xml:space="preserve">for GIT 1, and</w:t>
      </w:r>
      <w:r>
        <w:t xml:space="preserve"> </w:t>
      </w:r>
      <m:oMath>
        <m:r>
          <m:rPr>
            <m:nor/>
            <m:sty m:val="p"/>
          </m:rPr>
          <m:t>ROC-AUC</m:t>
        </m:r>
        <m:r>
          <m:rPr>
            <m:sty m:val="p"/>
          </m:rPr>
          <m:t>=</m:t>
        </m:r>
        <m:r>
          <m:t>0.8321</m:t>
        </m:r>
      </m:oMath>
      <w:r>
        <w:t xml:space="preserve"> </w:t>
      </w:r>
      <w:r>
        <w:t xml:space="preserve">and</w:t>
      </w:r>
      <w:r>
        <w:t xml:space="preserve"> </w:t>
      </w:r>
      <m:oMath>
        <m:r>
          <m:rPr>
            <m:nor/>
            <m:sty m:val="p"/>
          </m:rPr>
          <m:t>PR-AUC</m:t>
        </m:r>
        <m:r>
          <m:rPr>
            <m:sty m:val="p"/>
          </m:rPr>
          <m:t>=</m:t>
        </m:r>
        <m:r>
          <m:t>0.4048</m:t>
        </m:r>
      </m:oMath>
      <w:r>
        <w:t xml:space="preserve"> </w:t>
      </w:r>
      <w:r>
        <w:t xml:space="preserve">for GIT 2.</w:t>
      </w:r>
    </w:p>
    <w:p>
      <w:pPr>
        <w:numPr>
          <w:ilvl w:val="0"/>
          <w:numId w:val="1004"/>
        </w:numPr>
        <w:pStyle w:val="Compact"/>
      </w:pPr>
      <w:r>
        <w:t xml:space="preserve">Candidate C3 evaluated in Phase C matches the Phase D8 locked evaluation to full floating-point precision (</w:t>
      </w:r>
      <m:oMath>
        <m:r>
          <m:t>100.000</m:t>
        </m:r>
        <m:r>
          <m:rPr>
            <m:sty m:val="p"/>
          </m:rPr>
          <m:t>%</m:t>
        </m:r>
      </m:oMath>
      <w:r>
        <w:t xml:space="preserve"> </w:t>
      </w:r>
      <w:r>
        <w:t xml:space="preserve">agreement across all 47 predictions).</w:t>
      </w:r>
    </w:p>
    <w:p>
      <w:pPr>
        <w:numPr>
          <w:ilvl w:val="0"/>
          <w:numId w:val="1004"/>
        </w:numPr>
        <w:pStyle w:val="Compact"/>
      </w:pPr>
      <w:r>
        <w:t xml:space="preserve">No prior reports were overwritten or modified, maintaining an auditable evidentiary trail.</w:t>
      </w:r>
    </w:p>
    <w:p>
      <w:r>
        <w:pict>
          <v:rect style="width:0;height:1.5pt" o:hralign="center" o:hrstd="t" o:hr="t"/>
        </w:pict>
      </w:r>
    </w:p>
    <w:bookmarkEnd w:id="63"/>
    <w:bookmarkEnd w:id="64"/>
    <w:bookmarkStart w:id="68" w:name="discussion"/>
    <w:p>
      <w:pPr>
        <w:pStyle w:val="Heading2"/>
      </w:pPr>
      <w:r>
        <w:t xml:space="preserve">9. Discussion</w:t>
      </w:r>
    </w:p>
    <w:bookmarkStart w:id="65" w:name="X20f48cf90923879bc30192a8f406d1379630c74"/>
    <w:p>
      <w:pPr>
        <w:pStyle w:val="Heading3"/>
      </w:pPr>
      <w:r>
        <w:t xml:space="preserve">9.1 Does Candidate D5 Demonstrate Clinical Superiority?</w:t>
      </w:r>
    </w:p>
    <w:p>
      <w:pPr>
        <w:pStyle w:val="FirstParagraph"/>
      </w:pPr>
      <w:r>
        <w:rPr>
          <w:bCs/>
          <w:b/>
        </w:rPr>
        <w:t xml:space="preserve">No.</w:t>
      </w:r>
      <w:r>
        <w:t xml:space="preserve"> </w:t>
      </w:r>
      <w:r>
        <w:t xml:space="preserve">Based on locked held-out test evaluation, Candidate D5 does not surpass Candidate C3:</w:t>
      </w:r>
      <w:r>
        <w:t xml:space="preserve"> </w:t>
      </w:r>
      <w:r>
        <w:t xml:space="preserve">- D5 detected zero additional cancers (</w:t>
      </w:r>
      <m:oMath>
        <m:r>
          <m:t>6</m:t>
        </m:r>
        <m:r>
          <m:rPr>
            <m:sty m:val="p"/>
          </m:rPr>
          <m:t>/</m:t>
        </m:r>
        <m:r>
          <m:t>7</m:t>
        </m:r>
      </m:oMath>
      <w:r>
        <w:t xml:space="preserve"> </w:t>
      </w:r>
      <w:r>
        <w:t xml:space="preserve">sensitivity for both models).</w:t>
      </w:r>
      <w:r>
        <w:t xml:space="preserve"> </w:t>
      </w:r>
      <w:r>
        <w:t xml:space="preserve">- D5 accrued two additional false positives, reducing specificity from</w:t>
      </w:r>
      <w:r>
        <w:t xml:space="preserve"> </w:t>
      </w:r>
      <m:oMath>
        <m:r>
          <m:t>85.00</m:t>
        </m:r>
        <m:r>
          <m:rPr>
            <m:sty m:val="p"/>
          </m:rPr>
          <m:t>%</m:t>
        </m:r>
      </m:oMath>
      <w:r>
        <w:t xml:space="preserve"> </w:t>
      </w:r>
      <w:r>
        <w:t xml:space="preserve">to</w:t>
      </w:r>
      <w:r>
        <w:t xml:space="preserve"> </w:t>
      </w:r>
      <m:oMath>
        <m:r>
          <m:t>80.00</m:t>
        </m:r>
        <m:r>
          <m:rPr>
            <m:sty m:val="p"/>
          </m:rPr>
          <m:t>%</m:t>
        </m:r>
      </m:oMath>
      <w:r>
        <w:t xml:space="preserve"> </w:t>
      </w:r>
      <w:r>
        <w:t xml:space="preserve">and precision from</w:t>
      </w:r>
      <w:r>
        <w:t xml:space="preserve"> </w:t>
      </w:r>
      <m:oMath>
        <m:r>
          <m:t>50.00</m:t>
        </m:r>
        <m:r>
          <m:rPr>
            <m:sty m:val="p"/>
          </m:rPr>
          <m:t>%</m:t>
        </m:r>
      </m:oMath>
      <w:r>
        <w:t xml:space="preserve"> </w:t>
      </w:r>
      <w:r>
        <w:t xml:space="preserve">to</w:t>
      </w:r>
      <w:r>
        <w:t xml:space="preserve"> </w:t>
      </w:r>
      <m:oMath>
        <m:r>
          <m:t>42.86</m:t>
        </m:r>
        <m:r>
          <m:rPr>
            <m:sty m:val="p"/>
          </m:rPr>
          <m:t>%</m:t>
        </m:r>
      </m:oMath>
      <w:r>
        <w:t xml:space="preserve">.</w:t>
      </w:r>
      <w:r>
        <w:t xml:space="preserve"> </w:t>
      </w:r>
      <w:r>
        <w:t xml:space="preserve">- While D5 achieved a higher composite score on validation data, this apparent advantage failed to generalize to the test cohort, exemplifying small-sample validation variance.</w:t>
      </w:r>
      <w:r>
        <w:t xml:space="preserve"> </w:t>
      </w:r>
      <w:r>
        <w:t xml:space="preserve">- Consequently,</w:t>
      </w:r>
      <w:r>
        <w:t xml:space="preserve"> </w:t>
      </w:r>
      <w:r>
        <w:rPr>
          <w:bCs/>
          <w:b/>
        </w:rPr>
        <w:t xml:space="preserve">Candidate C3 is reaffirmed as the primary, most balanced reference benchmark</w:t>
      </w:r>
      <w:r>
        <w:t xml:space="preserve"> </w:t>
      </w:r>
      <w:r>
        <w:t xml:space="preserve">for multimodal radiologic triage in this codebase.</w:t>
      </w:r>
    </w:p>
    <w:bookmarkEnd w:id="65"/>
    <w:bookmarkStart w:id="66" w:name="the-fallacy-of-majority-class-accuracy"/>
    <w:p>
      <w:pPr>
        <w:pStyle w:val="Heading3"/>
      </w:pPr>
      <w:r>
        <w:t xml:space="preserve">9.2 The Fallacy of Majority-Class Accuracy</w:t>
      </w:r>
    </w:p>
    <w:p>
      <w:pPr>
        <w:pStyle w:val="FirstParagraph"/>
      </w:pPr>
      <w:r>
        <w:t xml:space="preserve">In screening populations where low-risk cases predominate (</w:t>
      </w:r>
      <m:oMath>
        <m:r>
          <m:t>85.11</m:t>
        </m:r>
        <m:r>
          <m:rPr>
            <m:sty m:val="p"/>
          </m:rPr>
          <m:t>%</m:t>
        </m:r>
      </m:oMath>
      <w:r>
        <w:t xml:space="preserve"> </w:t>
      </w:r>
      <w:r>
        <w:t xml:space="preserve">in our test cohort), a trivial dummy classifier predicting</w:t>
      </w:r>
      <w:r>
        <w:t xml:space="preserve"> </w:t>
      </w:r>
      <w:r>
        <w:rPr>
          <w:rStyle w:val="VerbatimChar"/>
        </w:rPr>
        <w:t xml:space="preserve">LOW_RISK</w:t>
      </w:r>
      <w:r>
        <w:t xml:space="preserve"> </w:t>
      </w:r>
      <w:r>
        <w:t xml:space="preserve">for all subjects achieves</w:t>
      </w:r>
      <w:r>
        <w:t xml:space="preserve"> </w:t>
      </w:r>
      <m:oMath>
        <m:r>
          <m:t>85.11</m:t>
        </m:r>
        <m:r>
          <m:rPr>
            <m:sty m:val="p"/>
          </m:rPr>
          <m:t>%</m:t>
        </m:r>
      </m:oMath>
      <w:r>
        <w:rPr>
          <w:bCs/>
          <w:b/>
        </w:rPr>
        <w:t xml:space="preserve"> </w:t>
      </w:r>
      <w:r>
        <w:rPr>
          <w:bCs/>
          <w:b/>
        </w:rPr>
        <w:t xml:space="preserve">accuracy</w:t>
      </w:r>
      <w:r>
        <w:t xml:space="preserve">, yet misses</w:t>
      </w:r>
      <w:r>
        <w:t xml:space="preserve"> </w:t>
      </w:r>
      <m:oMath>
        <m:r>
          <m:t>100</m:t>
        </m:r>
        <m:r>
          <m:rPr>
            <m:sty m:val="p"/>
          </m:rPr>
          <m:t>%</m:t>
        </m:r>
      </m:oMath>
      <w:r>
        <w:t xml:space="preserve"> </w:t>
      </w:r>
      <w:r>
        <w:t xml:space="preserve">of malignancies (</w:t>
      </w:r>
      <m:oMath>
        <m:r>
          <m:rPr>
            <m:nor/>
            <m:sty m:val="p"/>
          </m:rPr>
          <m:t>Sensitivity</m:t>
        </m:r>
        <m:r>
          <m:rPr>
            <m:sty m:val="p"/>
          </m:rPr>
          <m:t>=</m:t>
        </m:r>
        <m:r>
          <m:t>0</m:t>
        </m:r>
        <m:r>
          <m:rPr>
            <m:sty m:val="p"/>
          </m:rPr>
          <m:t>%</m:t>
        </m:r>
      </m:oMath>
      <w:r>
        <w:t xml:space="preserve">). In contrast, Benchmark C3 achieves</w:t>
      </w:r>
      <w:r>
        <w:t xml:space="preserve"> </w:t>
      </w:r>
      <m:oMath>
        <m:r>
          <m:t>85.11</m:t>
        </m:r>
        <m:r>
          <m:rPr>
            <m:sty m:val="p"/>
          </m:rPr>
          <m:t>%</m:t>
        </m:r>
      </m:oMath>
      <w:r>
        <w:t xml:space="preserve"> </w:t>
      </w:r>
      <w:r>
        <w:t xml:space="preserve">accuracy while delivering</w:t>
      </w:r>
      <w:r>
        <w:t xml:space="preserve"> </w:t>
      </w:r>
      <m:oMath>
        <m:r>
          <m:t>85.71</m:t>
        </m:r>
        <m:r>
          <m:rPr>
            <m:sty m:val="p"/>
          </m:rPr>
          <m:t>%</m:t>
        </m:r>
      </m:oMath>
      <w:r>
        <w:rPr>
          <w:bCs/>
          <w:b/>
        </w:rPr>
        <w:t xml:space="preserve"> </w:t>
      </w:r>
      <w:r>
        <w:rPr>
          <w:bCs/>
          <w:b/>
        </w:rPr>
        <w:t xml:space="preserve">sensitivity (6 of 7 suspicious/actionable lesions identified)</w:t>
      </w:r>
      <w:r>
        <w:t xml:space="preserve">,</w:t>
      </w:r>
      <w:r>
        <w:t xml:space="preserve"> </w:t>
      </w:r>
      <m:oMath>
        <m:r>
          <m:t>85.00</m:t>
        </m:r>
        <m:r>
          <m:rPr>
            <m:sty m:val="p"/>
          </m:rPr>
          <m:t>%</m:t>
        </m:r>
      </m:oMath>
      <w:r>
        <w:t xml:space="preserve"> </w:t>
      </w:r>
      <w:r>
        <w:t xml:space="preserve">specificity, and a Negative Predictive Value of</w:t>
      </w:r>
      <w:r>
        <w:t xml:space="preserve"> </w:t>
      </w:r>
      <m:oMath>
        <m:r>
          <m:t>97.14</m:t>
        </m:r>
        <m:r>
          <m:rPr>
            <m:sty m:val="p"/>
          </m:rPr>
          <m:t>%</m:t>
        </m:r>
      </m:oMath>
      <w:r>
        <w:t xml:space="preserve">.</w:t>
      </w:r>
    </w:p>
    <w:bookmarkEnd w:id="66"/>
    <w:bookmarkStart w:id="67" w:name="X26460474e9a00ba071838efdd5d1b82dc2c9a40"/>
    <w:p>
      <w:pPr>
        <w:pStyle w:val="Heading3"/>
      </w:pPr>
      <w:r>
        <w:t xml:space="preserve">9.3 Statistical Power and Small-Sample Binomial Constraints</w:t>
      </w:r>
    </w:p>
    <w:p>
      <w:pPr>
        <w:pStyle w:val="FirstParagraph"/>
      </w:pPr>
      <w:r>
        <w:t xml:space="preserve">With only seven positive cancer cases in the held-out cohort, statistical power is severely constrained. The difference between C3 and D5 is statistically indistinguishable (</w:t>
      </w:r>
      <m:oMath>
        <m:r>
          <m:t>p</m:t>
        </m:r>
        <m:r>
          <m:rPr>
            <m:sty m:val="p"/>
          </m:rPr>
          <m:t>=</m:t>
        </m:r>
        <m:r>
          <m:t>0.5000</m:t>
        </m:r>
      </m:oMath>
      <w:r>
        <w:t xml:space="preserve">). Claims of commercial readiness or clinical superiority based on such samples are scientifically unsupportable.</w:t>
      </w:r>
    </w:p>
    <w:p>
      <w:r>
        <w:pict>
          <v:rect style="width:0;height:1.5pt" o:hralign="center" o:hrstd="t" o:hr="t"/>
        </w:pict>
      </w:r>
    </w:p>
    <w:bookmarkEnd w:id="67"/>
    <w:bookmarkEnd w:id="68"/>
    <w:bookmarkStart w:id="69" w:name="limitations"/>
    <w:p>
      <w:pPr>
        <w:pStyle w:val="Heading2"/>
      </w:pPr>
      <w:r>
        <w:t xml:space="preserve">10. Limitations</w:t>
      </w:r>
    </w:p>
    <w:p>
      <w:pPr>
        <w:numPr>
          <w:ilvl w:val="0"/>
          <w:numId w:val="1005"/>
        </w:numPr>
        <w:pStyle w:val="Compact"/>
      </w:pPr>
      <w:r>
        <w:rPr>
          <w:bCs/>
          <w:b/>
        </w:rPr>
        <w:t xml:space="preserve">Small Positive Sample Size (</w:t>
      </w:r>
      <m:oMath>
        <m:sSub>
          <m:e>
            <m:r>
              <m:t>N</m:t>
            </m:r>
          </m:e>
          <m:sub>
            <m:r>
              <m:rPr>
                <m:nor/>
                <m:sty m:val="p"/>
              </m:rPr>
              <m:t>pos</m:t>
            </m:r>
          </m:sub>
        </m:sSub>
        <m:r>
          <m:rPr>
            <m:sty m:val="p"/>
          </m:rPr>
          <m:t>=</m:t>
        </m:r>
        <m:r>
          <m:t>7</m:t>
        </m:r>
      </m:oMath>
      <w:r>
        <w:rPr>
          <w:bCs/>
          <w:b/>
        </w:rPr>
        <w:t xml:space="preserve">):</w:t>
      </w:r>
      <w:r>
        <w:t xml:space="preserve"> </w:t>
      </w:r>
      <w:r>
        <w:t xml:space="preserve">The primary limitation is the small number of positive malignancies. Confidence intervals for sensitivity span over</w:t>
      </w:r>
      <w:r>
        <w:t xml:space="preserve"> </w:t>
      </w:r>
      <m:oMath>
        <m:r>
          <m:t>57</m:t>
        </m:r>
        <m:r>
          <m:rPr>
            <m:sty m:val="p"/>
          </m:rPr>
          <m:t>%</m:t>
        </m:r>
      </m:oMath>
      <w:r>
        <w:t xml:space="preserve"> </w:t>
      </w:r>
      <w:r>
        <w:t xml:space="preserve">(</w:t>
      </w:r>
      <m:oMath>
        <m:r>
          <m:rPr>
            <m:sty m:val="p"/>
          </m:rPr>
          <m:t>[</m:t>
        </m:r>
        <m:r>
          <m:t>42.13</m:t>
        </m:r>
        <m:r>
          <m:rPr>
            <m:sty m:val="p"/>
          </m:rPr>
          <m:t>%</m:t>
        </m:r>
        <m:r>
          <m:rPr>
            <m:sty m:val="p"/>
          </m:rPr>
          <m:t>,</m:t>
        </m:r>
        <m:r>
          <m:t>99.64</m:t>
        </m:r>
        <m:r>
          <m:rPr>
            <m:sty m:val="p"/>
          </m:rPr>
          <m:t>%</m:t>
        </m:r>
        <m:r>
          <m:rPr>
            <m:sty m:val="p"/>
          </m:rPr>
          <m:t>]</m:t>
        </m:r>
      </m:oMath>
      <w:r>
        <w:t xml:space="preserve">).</w:t>
      </w:r>
    </w:p>
    <w:p>
      <w:pPr>
        <w:numPr>
          <w:ilvl w:val="0"/>
          <w:numId w:val="1005"/>
        </w:numPr>
        <w:pStyle w:val="Compact"/>
      </w:pPr>
      <w:r>
        <w:rPr>
          <w:bCs/>
          <w:b/>
        </w:rPr>
        <w:t xml:space="preserve">Single-Center Retrospective Origin:</w:t>
      </w:r>
      <w:r>
        <w:t xml:space="preserve"> </w:t>
      </w:r>
      <w:r>
        <w:t xml:space="preserve">BCMID originates from a single hospital in Alexandria, Egypt. Generalizability across international screening programs, diverse patient ethnicities, and varied mammographic hardware remains unestablished.</w:t>
      </w:r>
    </w:p>
    <w:p>
      <w:pPr>
        <w:numPr>
          <w:ilvl w:val="0"/>
          <w:numId w:val="1005"/>
        </w:numPr>
        <w:pStyle w:val="Compact"/>
      </w:pPr>
      <w:r>
        <w:rPr>
          <w:bCs/>
          <w:b/>
        </w:rPr>
        <w:t xml:space="preserve">Radiologic Triage vs. Histopathological Truth:</w:t>
      </w:r>
      <w:r>
        <w:t xml:space="preserve"> </w:t>
      </w:r>
      <w:r>
        <w:t xml:space="preserve">Labels reflect radiologist narrative BI-RADS categories rather than universal tissue biopsy pathology.</w:t>
      </w:r>
    </w:p>
    <w:p>
      <w:pPr>
        <w:numPr>
          <w:ilvl w:val="0"/>
          <w:numId w:val="1005"/>
        </w:numPr>
        <w:pStyle w:val="Compact"/>
      </w:pPr>
      <w:r>
        <w:rPr>
          <w:bCs/>
          <w:b/>
        </w:rPr>
        <w:t xml:space="preserve">Frozen Encoders:</w:t>
      </w:r>
      <w:r>
        <w:t xml:space="preserve"> </w:t>
      </w:r>
      <w:r>
        <w:t xml:space="preserve">Image encoders were frozen post-pretraining due to hardware constraints on the 2.0 GB NVIDIA GeForce MX550, leaving end-to-end multi-task backpropagation unexamined.</w:t>
      </w:r>
    </w:p>
    <w:p>
      <w:r>
        <w:pict>
          <v:rect style="width:0;height:1.5pt" o:hralign="center" o:hrstd="t" o:hr="t"/>
        </w:pict>
      </w:r>
    </w:p>
    <w:bookmarkEnd w:id="69"/>
    <w:bookmarkStart w:id="70" w:name="X8bb5961ae63b14a5998deee66bbe6afa518abd4"/>
    <w:p>
      <w:pPr>
        <w:pStyle w:val="Heading2"/>
      </w:pPr>
      <w:r>
        <w:t xml:space="preserve">11. Ethical Considerations &amp; Clinical Safety Boundary</w:t>
      </w:r>
    </w:p>
    <w:p>
      <w:pPr>
        <w:numPr>
          <w:ilvl w:val="0"/>
          <w:numId w:val="1006"/>
        </w:numPr>
        <w:pStyle w:val="Compact"/>
      </w:pPr>
      <w:r>
        <w:rPr>
          <w:bCs/>
          <w:b/>
        </w:rPr>
        <w:t xml:space="preserve">Research Scope Only:</w:t>
      </w:r>
      <w:r>
        <w:t xml:space="preserve"> </w:t>
      </w:r>
      <w:r>
        <w:t xml:space="preserve">This system is an automated radiologic triage research tool designed to prioritize workflow.</w:t>
      </w:r>
      <w:r>
        <w:t xml:space="preserve"> </w:t>
      </w:r>
      <w:r>
        <w:rPr>
          <w:bCs/>
          <w:b/>
        </w:rPr>
        <w:t xml:space="preserve">It does NOT diagnose breast cancer, does not replace tissue biopsy, and is not approved for clinical decision-making.</w:t>
      </w:r>
    </w:p>
    <w:p>
      <w:pPr>
        <w:numPr>
          <w:ilvl w:val="0"/>
          <w:numId w:val="1006"/>
        </w:numPr>
        <w:pStyle w:val="Compact"/>
      </w:pPr>
      <w:r>
        <w:rPr>
          <w:bCs/>
          <w:b/>
        </w:rPr>
        <w:t xml:space="preserve">Patient Privacy:</w:t>
      </w:r>
      <w:r>
        <w:t xml:space="preserve"> </w:t>
      </w:r>
      <w:r>
        <w:t xml:space="preserve">All patient identifiers have been pseudorandomized. No unprotected health information (PHI) or identifiable facial/anatomical markers are exposed.</w:t>
      </w:r>
    </w:p>
    <w:p>
      <w:pPr>
        <w:numPr>
          <w:ilvl w:val="0"/>
          <w:numId w:val="1006"/>
        </w:numPr>
        <w:pStyle w:val="Compact"/>
      </w:pPr>
      <w:r>
        <w:rPr>
          <w:bCs/>
          <w:b/>
        </w:rPr>
        <w:t xml:space="preserve">Harm of False Negatives:</w:t>
      </w:r>
      <w:r>
        <w:t xml:space="preserve"> </w:t>
      </w:r>
      <w:r>
        <w:t xml:space="preserve">In oncology screening, false negatives result in delayed diagnosis. The mutual miss of the mutual false-negative case underscores why AI triage systems must serve as secondary aids under human radiologist supervision, never as autonomous gatekeepers.</w:t>
      </w:r>
    </w:p>
    <w:p>
      <w:r>
        <w:pict>
          <v:rect style="width:0;height:1.5pt" o:hralign="center" o:hrstd="t" o:hr="t"/>
        </w:pict>
      </w:r>
    </w:p>
    <w:bookmarkEnd w:id="70"/>
    <w:bookmarkStart w:id="71" w:name="conclusion"/>
    <w:p>
      <w:pPr>
        <w:pStyle w:val="Heading2"/>
      </w:pPr>
      <w:r>
        <w:t xml:space="preserve">12. Conclusion</w:t>
      </w:r>
    </w:p>
    <w:p>
      <w:pPr>
        <w:pStyle w:val="FirstParagraph"/>
      </w:pPr>
      <w:r>
        <w:t xml:space="preserve">This study establishes a rigorous, scientifically controlled benchmark for multimodal radiologic breast cancer triage on the BCMID dataset. Through multi-phase exploration and locked held-out testing,</w:t>
      </w:r>
      <w:r>
        <w:t xml:space="preserve"> </w:t>
      </w:r>
      <w:r>
        <w:rPr>
          <w:bCs/>
          <w:b/>
        </w:rPr>
        <w:t xml:space="preserve">Candidate C3</w:t>
      </w:r>
      <w:r>
        <w:t xml:space="preserve"> </w:t>
      </w:r>
      <w:r>
        <w:t xml:space="preserve">(Class-Balanced Focal Loss</w:t>
      </w:r>
      <w:r>
        <w:t xml:space="preserve"> </w:t>
      </w:r>
      <m:oMath>
        <m:r>
          <m:t>γ</m:t>
        </m:r>
        <m:r>
          <m:rPr>
            <m:sty m:val="p"/>
          </m:rPr>
          <m:t>=</m:t>
        </m:r>
        <m:r>
          <m:t>1.5</m:t>
        </m:r>
        <m:r>
          <m:rPr>
            <m:sty m:val="p"/>
          </m:rPr>
          <m:t>,</m:t>
        </m:r>
        <m:r>
          <m:rPr>
            <m:nor/>
            <m:sty m:val="p"/>
          </m:rPr>
          <m:t>lr</m:t>
        </m:r>
        <m:r>
          <m:rPr>
            <m:sty m:val="p"/>
          </m:rPr>
          <m:t>=</m:t>
        </m:r>
        <m:sSup>
          <m:e>
            <m:r>
              <m:t>10</m:t>
            </m:r>
          </m:e>
          <m:sup>
            <m:r>
              <m:rPr>
                <m:sty m:val="p"/>
              </m:rPr>
              <m:t>−</m:t>
            </m:r>
            <m:r>
              <m:t>4</m:t>
            </m:r>
          </m:sup>
        </m:sSup>
      </m:oMath>
      <w:r>
        <w:t xml:space="preserve">) is reaffirmed as the strongest reference model, achieving</w:t>
      </w:r>
      <w:r>
        <w:t xml:space="preserve"> </w:t>
      </w:r>
      <m:oMath>
        <m:r>
          <m:t>85.71</m:t>
        </m:r>
        <m:r>
          <m:rPr>
            <m:sty m:val="p"/>
          </m:rPr>
          <m:t>%</m:t>
        </m:r>
      </m:oMath>
      <w:r>
        <w:rPr>
          <w:bCs/>
          <w:b/>
        </w:rPr>
        <w:t xml:space="preserve"> </w:t>
      </w:r>
      <w:r>
        <w:rPr>
          <w:bCs/>
          <w:b/>
        </w:rPr>
        <w:t xml:space="preserve">sensitivity (</w:t>
      </w:r>
      <m:oMath>
        <m:r>
          <m:t>6</m:t>
        </m:r>
        <m:r>
          <m:rPr>
            <m:sty m:val="p"/>
          </m:rPr>
          <m:t>/</m:t>
        </m:r>
        <m:r>
          <m:t>7</m:t>
        </m:r>
      </m:oMath>
      <w:r>
        <w:rPr>
          <w:bCs/>
          <w:b/>
        </w:rPr>
        <w:t xml:space="preserve"> </w:t>
      </w:r>
      <w:r>
        <w:rPr>
          <w:bCs/>
          <w:b/>
        </w:rPr>
        <w:t xml:space="preserve">suspicious/actionable cases triaged),</w:t>
      </w:r>
      <w:r>
        <w:rPr>
          <w:bCs/>
          <w:b/>
        </w:rPr>
        <w:t xml:space="preserve"> </w:t>
      </w:r>
      <m:oMath>
        <m:r>
          <m:t>85.00</m:t>
        </m:r>
        <m:r>
          <m:rPr>
            <m:sty m:val="p"/>
          </m:rPr>
          <m:t>%</m:t>
        </m:r>
      </m:oMath>
      <w:r>
        <w:rPr>
          <w:bCs/>
          <w:b/>
        </w:rPr>
        <w:t xml:space="preserve"> </w:t>
      </w:r>
      <w:r>
        <w:rPr>
          <w:bCs/>
          <w:b/>
        </w:rPr>
        <w:t xml:space="preserve">specificity (</w:t>
      </w:r>
      <m:oMath>
        <m:r>
          <m:t>34</m:t>
        </m:r>
        <m:r>
          <m:rPr>
            <m:sty m:val="p"/>
          </m:rPr>
          <m:t>/</m:t>
        </m:r>
        <m:r>
          <m:t>40</m:t>
        </m:r>
      </m:oMath>
      <w:r>
        <w:rPr>
          <w:bCs/>
          <w:b/>
        </w:rPr>
        <w:t xml:space="preserve"> </w:t>
      </w:r>
      <w:r>
        <w:rPr>
          <w:bCs/>
          <w:b/>
        </w:rPr>
        <w:t xml:space="preserve">true negatives),</w:t>
      </w:r>
      <w:r>
        <w:rPr>
          <w:bCs/>
          <w:b/>
        </w:rPr>
        <w:t xml:space="preserve"> </w:t>
      </w:r>
      <m:oMath>
        <m:r>
          <m:t>85.36</m:t>
        </m:r>
        <m:r>
          <m:rPr>
            <m:sty m:val="p"/>
          </m:rPr>
          <m:t>%</m:t>
        </m:r>
      </m:oMath>
      <w:r>
        <w:rPr>
          <w:bCs/>
          <w:b/>
        </w:rPr>
        <w:t xml:space="preserve"> </w:t>
      </w:r>
      <w:r>
        <w:rPr>
          <w:bCs/>
          <w:b/>
        </w:rPr>
        <w:t xml:space="preserve">balanced accuracy, and an ROC-AUC of</w:t>
      </w:r>
      <w:r>
        <w:rPr>
          <w:bCs/>
          <w:b/>
        </w:rPr>
        <w:t xml:space="preserve"> </w:t>
      </w:r>
      <m:oMath>
        <m:r>
          <m:t>0.9036</m:t>
        </m:r>
      </m:oMath>
      <w:r>
        <w:t xml:space="preserve"> </w:t>
      </w:r>
      <w:r>
        <w:t xml:space="preserve">at the canonical threshold</w:t>
      </w:r>
      <w:r>
        <w:t xml:space="preserve"> </w:t>
      </w:r>
      <m:oMath>
        <m:r>
          <m:t>τ</m:t>
        </m:r>
        <m:r>
          <m:rPr>
            <m:sty m:val="p"/>
          </m:rPr>
          <m:t>=</m:t>
        </m:r>
        <m:r>
          <m:t>0.50</m:t>
        </m:r>
      </m:oMath>
      <w:r>
        <w:t xml:space="preserve">.</w:t>
      </w:r>
    </w:p>
    <w:p>
      <w:pPr>
        <w:pStyle w:val="BodyText"/>
      </w:pPr>
      <w:r>
        <w:t xml:space="preserve">While Candidate D5 exhibited validation gains, locked test evaluation revealed that these gains did not generalize, resulting in identical sensitivity with two additional false positives. Through transparent reporting of exact binomial confidence bounds, paired non-parametric tests, and forensic reconciliation of historical baselines, this work establishes a verifiable foundation for future multi-center prospective investigations.</w:t>
      </w:r>
    </w:p>
    <w:p>
      <w:r>
        <w:pict>
          <v:rect style="width:0;height:1.5pt" o:hralign="center" o:hrstd="t" o:hr="t"/>
        </w:pict>
      </w:r>
    </w:p>
    <w:bookmarkEnd w:id="71"/>
    <w:bookmarkStart w:id="72" w:name="references"/>
    <w:p>
      <w:pPr>
        <w:pStyle w:val="Heading2"/>
      </w:pPr>
      <w:r>
        <w:t xml:space="preserve">13. References</w:t>
      </w:r>
    </w:p>
    <w:p>
      <w:pPr>
        <w:numPr>
          <w:ilvl w:val="0"/>
          <w:numId w:val="1007"/>
        </w:numPr>
        <w:pStyle w:val="Compact"/>
      </w:pPr>
      <w:r>
        <w:t xml:space="preserve">World Health Organization (WHO). (2023).</w:t>
      </w:r>
      <w:r>
        <w:t xml:space="preserve"> </w:t>
      </w:r>
      <w:r>
        <w:t xml:space="preserve">“</w:t>
      </w:r>
      <w:r>
        <w:t xml:space="preserve">Breast Cancer: Key Facts.</w:t>
      </w:r>
      <w:r>
        <w:t xml:space="preserve">”</w:t>
      </w:r>
      <w:r>
        <w:t xml:space="preserve"> </w:t>
      </w:r>
      <w:r>
        <w:t xml:space="preserve">Geneva: WHO.</w:t>
      </w:r>
    </w:p>
    <w:p>
      <w:pPr>
        <w:numPr>
          <w:ilvl w:val="0"/>
          <w:numId w:val="1007"/>
        </w:numPr>
        <w:pStyle w:val="Compact"/>
      </w:pPr>
      <w:r>
        <w:t xml:space="preserve">D’Orsi, C. J., Sickles, E. A., Mendelson, E. B., &amp; Morris, E. A. (2013).</w:t>
      </w:r>
      <w:r>
        <w:t xml:space="preserve"> </w:t>
      </w:r>
      <w:r>
        <w:rPr>
          <w:iCs/>
          <w:i/>
        </w:rPr>
        <w:t xml:space="preserve">ACR BI-RADS® Atlas: Breast Imaging Reporting and Data System</w:t>
      </w:r>
      <w:r>
        <w:t xml:space="preserve">. Reston, VA: American College of Radiology.</w:t>
      </w:r>
    </w:p>
    <w:p>
      <w:pPr>
        <w:numPr>
          <w:ilvl w:val="0"/>
          <w:numId w:val="1007"/>
        </w:numPr>
        <w:pStyle w:val="Compact"/>
      </w:pPr>
      <w:r>
        <w:t xml:space="preserve">Berg, W. A., Blume, J. D., Cormack, J. B., Mendelson, E. B., Lehrer, D., Böhm-Vélez, M., Pisano, E. D., Jong, R. A., Evans, W. P., Sexton, P. R., &amp; Newman, B. F. (2008).</w:t>
      </w:r>
      <w:r>
        <w:t xml:space="preserve"> </w:t>
      </w:r>
      <w:r>
        <w:t xml:space="preserve">“</w:t>
      </w:r>
      <w:r>
        <w:t xml:space="preserve">Combined Screening with Ultrasound and Mammography vs Mammography Alone in Women at Elevated Risk of Breast Cancer.</w:t>
      </w:r>
      <w:r>
        <w:t xml:space="preserve">”</w:t>
      </w:r>
      <w:r>
        <w:t xml:space="preserve"> </w:t>
      </w:r>
      <w:r>
        <w:rPr>
          <w:iCs/>
          <w:i/>
        </w:rPr>
        <w:t xml:space="preserve">JAMA</w:t>
      </w:r>
      <w:r>
        <w:t xml:space="preserve">, 300(18), 2153–2162.</w:t>
      </w:r>
    </w:p>
    <w:p>
      <w:pPr>
        <w:numPr>
          <w:ilvl w:val="0"/>
          <w:numId w:val="1007"/>
        </w:numPr>
        <w:pStyle w:val="Compact"/>
      </w:pPr>
      <w:r>
        <w:t xml:space="preserve">McKinney, S. M., Sieniek, M., Godbole, V., Godwin, J., Antropova, N., Ashrafian, H., Back, T., Chesus, M., Corrado, G. S., Darzi, A., Etemadi, M., Garcia-Vicente, F., Gilbert, F. J., Halling-Brown, M., Hassabis, D., Jansen, S., Karthikesalingam, A., Kelly, C. J., King, D., Ledsam, J. R., Melnick, D., Mostafa, H., Peng, L., Reicher, J. J., Romera-Paredes, B., Sidebottom, R., Suleyman, M., Tse, D., Young, K. C., De Fauw, J., &amp; Shetty, S. (2020).</w:t>
      </w:r>
      <w:r>
        <w:t xml:space="preserve"> </w:t>
      </w:r>
      <w:r>
        <w:t xml:space="preserve">“</w:t>
      </w:r>
      <w:r>
        <w:t xml:space="preserve">International Evaluation of an AI System for Breast Cancer Screening.</w:t>
      </w:r>
      <w:r>
        <w:t xml:space="preserve">”</w:t>
      </w:r>
      <w:r>
        <w:t xml:space="preserve"> </w:t>
      </w:r>
      <w:r>
        <w:rPr>
          <w:iCs/>
          <w:i/>
        </w:rPr>
        <w:t xml:space="preserve">Nature</w:t>
      </w:r>
      <w:r>
        <w:t xml:space="preserve">, 577(7788), 89–94.</w:t>
      </w:r>
    </w:p>
    <w:p>
      <w:pPr>
        <w:numPr>
          <w:ilvl w:val="0"/>
          <w:numId w:val="1007"/>
        </w:numPr>
        <w:pStyle w:val="Compact"/>
      </w:pPr>
      <w:r>
        <w:t xml:space="preserve">Kapoor, S., &amp; Narayanan, A. (2023).</w:t>
      </w:r>
      <w:r>
        <w:t xml:space="preserve"> </w:t>
      </w:r>
      <w:r>
        <w:t xml:space="preserve">“</w:t>
      </w:r>
      <w:r>
        <w:t xml:space="preserve">Leakage and the Reproducibility Crisis in Machine-Learning-Based Science.</w:t>
      </w:r>
      <w:r>
        <w:t xml:space="preserve">”</w:t>
      </w:r>
      <w:r>
        <w:t xml:space="preserve"> </w:t>
      </w:r>
      <w:r>
        <w:rPr>
          <w:iCs/>
          <w:i/>
        </w:rPr>
        <w:t xml:space="preserve">Patterns</w:t>
      </w:r>
      <w:r>
        <w:t xml:space="preserve">, 4(9), 100804.</w:t>
      </w:r>
    </w:p>
    <w:p>
      <w:pPr>
        <w:numPr>
          <w:ilvl w:val="0"/>
          <w:numId w:val="1007"/>
        </w:numPr>
        <w:pStyle w:val="Compact"/>
      </w:pPr>
      <w:r>
        <w:t xml:space="preserve">Breast Cancer Multimodal Imaging Dataset (BCMID), Ayady Almostakbal Hospital, Alexandria, Egypt (2019–2022). Hosted on Zenodo, Record: 15546909.</w:t>
      </w:r>
    </w:p>
    <w:p>
      <w:pPr>
        <w:numPr>
          <w:ilvl w:val="0"/>
          <w:numId w:val="1007"/>
        </w:numPr>
        <w:pStyle w:val="Compact"/>
      </w:pPr>
      <w:r>
        <w:t xml:space="preserve">Antropova, N., Abe, H., &amp; Giger, M. L. (2017).</w:t>
      </w:r>
      <w:r>
        <w:t xml:space="preserve"> </w:t>
      </w:r>
      <w:r>
        <w:t xml:space="preserve">“</w:t>
      </w:r>
      <w:r>
        <w:t xml:space="preserve">Use of Clinical Features and Deep Convolutional Neural Networks to Categorize Breast Lesions in Mammography.</w:t>
      </w:r>
      <w:r>
        <w:t xml:space="preserve">”</w:t>
      </w:r>
      <w:r>
        <w:t xml:space="preserve"> </w:t>
      </w:r>
      <w:r>
        <w:rPr>
          <w:iCs/>
          <w:i/>
        </w:rPr>
        <w:t xml:space="preserve">Medical Physics</w:t>
      </w:r>
      <w:r>
        <w:t xml:space="preserve">, 44(10), 5131–5140.</w:t>
      </w:r>
    </w:p>
    <w:p>
      <w:pPr>
        <w:numPr>
          <w:ilvl w:val="0"/>
          <w:numId w:val="1007"/>
        </w:numPr>
        <w:pStyle w:val="Compact"/>
      </w:pPr>
      <w:r>
        <w:t xml:space="preserve">Shen, Y., Shamout, F. E., Oliver, N. C., Witowski, J., Kannan, K., Park, J., Wu, N., Geras, K. J., &amp; others. (2021).</w:t>
      </w:r>
      <w:r>
        <w:t xml:space="preserve"> </w:t>
      </w:r>
      <w:r>
        <w:t xml:space="preserve">“</w:t>
      </w:r>
      <w:r>
        <w:t xml:space="preserve">An Artificial Intelligence System for Predicting the Deterioration of COVID-19 Patients in the Emergency Department.</w:t>
      </w:r>
      <w:r>
        <w:t xml:space="preserve">”</w:t>
      </w:r>
      <w:r>
        <w:t xml:space="preserve"> </w:t>
      </w:r>
      <w:r>
        <w:rPr>
          <w:iCs/>
          <w:i/>
        </w:rPr>
        <w:t xml:space="preserve">npj Digital Medicine</w:t>
      </w:r>
      <w:r>
        <w:t xml:space="preserve">, 4(1), 1–11.</w:t>
      </w:r>
    </w:p>
    <w:p>
      <w:pPr>
        <w:numPr>
          <w:ilvl w:val="0"/>
          <w:numId w:val="1007"/>
        </w:numPr>
        <w:pStyle w:val="Compact"/>
      </w:pPr>
      <w:r>
        <w:t xml:space="preserve">Veličković, P., Cucurull, G., Casanova, A., Romero, A., Liò, P., &amp; Bengio, Y. (2018).</w:t>
      </w:r>
      <w:r>
        <w:t xml:space="preserve"> </w:t>
      </w:r>
      <w:r>
        <w:t xml:space="preserve">“</w:t>
      </w:r>
      <w:r>
        <w:t xml:space="preserve">Graph Attention Networks.</w:t>
      </w:r>
      <w:r>
        <w:t xml:space="preserve">”</w:t>
      </w:r>
      <w:r>
        <w:t xml:space="preserve"> </w:t>
      </w:r>
      <w:r>
        <w:t xml:space="preserve">In</w:t>
      </w:r>
      <w:r>
        <w:t xml:space="preserve"> </w:t>
      </w:r>
      <w:r>
        <w:rPr>
          <w:iCs/>
          <w:i/>
        </w:rPr>
        <w:t xml:space="preserve">International Conference on Learning Representations (ICLR 2018)</w:t>
      </w:r>
      <w:r>
        <w:t xml:space="preserve">.</w:t>
      </w:r>
    </w:p>
    <w:p>
      <w:pPr>
        <w:numPr>
          <w:ilvl w:val="0"/>
          <w:numId w:val="1007"/>
        </w:numPr>
        <w:pStyle w:val="Compact"/>
      </w:pPr>
      <w:r>
        <w:t xml:space="preserve">Lehman, C. D., Wellman, R. D., Buist, D. S., Kerlikowske, K., Tosteson, A. N., &amp; Miglioretti, D. L. (2015).</w:t>
      </w:r>
      <w:r>
        <w:t xml:space="preserve"> </w:t>
      </w:r>
      <w:r>
        <w:t xml:space="preserve">“</w:t>
      </w:r>
      <w:r>
        <w:t xml:space="preserve">Diagnostic Accuracy of Digital Screening Mammography with and without Computer-Aided Detection.</w:t>
      </w:r>
      <w:r>
        <w:t xml:space="preserve">”</w:t>
      </w:r>
      <w:r>
        <w:t xml:space="preserve"> </w:t>
      </w:r>
      <w:r>
        <w:rPr>
          <w:iCs/>
          <w:i/>
        </w:rPr>
        <w:t xml:space="preserve">JAMA Internal Medicine</w:t>
      </w:r>
      <w:r>
        <w:t xml:space="preserve">, 175(11), 1828–1837.</w:t>
      </w:r>
    </w:p>
    <w:p>
      <w:pPr>
        <w:numPr>
          <w:ilvl w:val="0"/>
          <w:numId w:val="1007"/>
        </w:numPr>
        <w:pStyle w:val="Compact"/>
      </w:pPr>
      <w:r>
        <w:t xml:space="preserve">Lin, T.-Y., Goyal, P., Girshick, R., He, K., &amp; Dollár, P. (2017).</w:t>
      </w:r>
      <w:r>
        <w:t xml:space="preserve"> </w:t>
      </w:r>
      <w:r>
        <w:t xml:space="preserve">“</w:t>
      </w:r>
      <w:r>
        <w:t xml:space="preserve">Focal Loss for Dense Object Detection.</w:t>
      </w:r>
      <w:r>
        <w:t xml:space="preserve">”</w:t>
      </w:r>
      <w:r>
        <w:t xml:space="preserve"> </w:t>
      </w:r>
      <w:r>
        <w:t xml:space="preserve">In</w:t>
      </w:r>
      <w:r>
        <w:t xml:space="preserve"> </w:t>
      </w:r>
      <w:r>
        <w:rPr>
          <w:iCs/>
          <w:i/>
        </w:rPr>
        <w:t xml:space="preserve">IEEE International Conference on Computer Vision (ICCV 2017)</w:t>
      </w:r>
      <w:r>
        <w:t xml:space="preserve">, pp. 2980–2988.</w:t>
      </w:r>
    </w:p>
    <w:p>
      <w:pPr>
        <w:numPr>
          <w:ilvl w:val="0"/>
          <w:numId w:val="1007"/>
        </w:numPr>
        <w:pStyle w:val="Compact"/>
      </w:pPr>
      <w:r>
        <w:t xml:space="preserve">Cui, Y., Jia, M., Lin, T.-Y., Song, Y., &amp; Belongie, S. (2019).</w:t>
      </w:r>
      <w:r>
        <w:t xml:space="preserve"> </w:t>
      </w:r>
      <w:r>
        <w:t xml:space="preserve">“</w:t>
      </w:r>
      <w:r>
        <w:t xml:space="preserve">Class-Balanced Loss Based on Effective Number of Samples.</w:t>
      </w:r>
      <w:r>
        <w:t xml:space="preserve">”</w:t>
      </w:r>
      <w:r>
        <w:t xml:space="preserve"> </w:t>
      </w:r>
      <w:r>
        <w:t xml:space="preserve">In</w:t>
      </w:r>
      <w:r>
        <w:t xml:space="preserve"> </w:t>
      </w:r>
      <w:r>
        <w:rPr>
          <w:iCs/>
          <w:i/>
        </w:rPr>
        <w:t xml:space="preserve">IEEE/CVF Conference on Computer Vision and Pattern Recognition (CVPR 2019)</w:t>
      </w:r>
      <w:r>
        <w:t xml:space="preserve">, pp. 9268–9277.</w:t>
      </w:r>
    </w:p>
    <w:p>
      <w:pPr>
        <w:numPr>
          <w:ilvl w:val="0"/>
          <w:numId w:val="1007"/>
        </w:numPr>
        <w:pStyle w:val="Compact"/>
      </w:pPr>
      <w:r>
        <w:t xml:space="preserve">Guo, C., Pleiss, G., Sun, Y., &amp; Weinberger, K. Q. (2017).</w:t>
      </w:r>
      <w:r>
        <w:t xml:space="preserve"> </w:t>
      </w:r>
      <w:r>
        <w:t xml:space="preserve">“</w:t>
      </w:r>
      <w:r>
        <w:t xml:space="preserve">On Calibration of Modern Neural Networks.</w:t>
      </w:r>
      <w:r>
        <w:t xml:space="preserve">”</w:t>
      </w:r>
      <w:r>
        <w:t xml:space="preserve"> </w:t>
      </w:r>
      <w:r>
        <w:t xml:space="preserve">In</w:t>
      </w:r>
      <w:r>
        <w:t xml:space="preserve"> </w:t>
      </w:r>
      <w:r>
        <w:rPr>
          <w:iCs/>
          <w:i/>
        </w:rPr>
        <w:t xml:space="preserve">Proceedings of the 34th International Conference on Machine Learning (ICML 2017)</w:t>
      </w:r>
      <w:r>
        <w:t xml:space="preserve">, PMLR 70, pp. 1321–1330.</w:t>
      </w:r>
    </w:p>
    <w:p>
      <w:pPr>
        <w:numPr>
          <w:ilvl w:val="0"/>
          <w:numId w:val="1007"/>
        </w:numPr>
        <w:pStyle w:val="Compact"/>
      </w:pPr>
      <w:r>
        <w:t xml:space="preserve">Brier, G. W. (1950).</w:t>
      </w:r>
      <w:r>
        <w:t xml:space="preserve"> </w:t>
      </w:r>
      <w:r>
        <w:t xml:space="preserve">“</w:t>
      </w:r>
      <w:r>
        <w:t xml:space="preserve">Verification of Forecasts Expressed in Terms of Probability.</w:t>
      </w:r>
      <w:r>
        <w:t xml:space="preserve">”</w:t>
      </w:r>
      <w:r>
        <w:t xml:space="preserve"> </w:t>
      </w:r>
      <w:r>
        <w:rPr>
          <w:iCs/>
          <w:i/>
        </w:rPr>
        <w:t xml:space="preserve">Monthly Weather Review</w:t>
      </w:r>
      <w:r>
        <w:t xml:space="preserve">, 78(1), 1–3.</w:t>
      </w:r>
    </w:p>
    <w:p>
      <w:pPr>
        <w:numPr>
          <w:ilvl w:val="0"/>
          <w:numId w:val="1007"/>
        </w:numPr>
        <w:pStyle w:val="Compact"/>
      </w:pPr>
      <w:r>
        <w:t xml:space="preserve">Tan, M., &amp; Le, Q. V. (2019).</w:t>
      </w:r>
      <w:r>
        <w:t xml:space="preserve"> </w:t>
      </w:r>
      <w:r>
        <w:t xml:space="preserve">“</w:t>
      </w:r>
      <w:r>
        <w:t xml:space="preserve">EfficientNet: Rethinking Model Scaling for Convolutional Neural Networks.</w:t>
      </w:r>
      <w:r>
        <w:t xml:space="preserve">”</w:t>
      </w:r>
      <w:r>
        <w:t xml:space="preserve"> </w:t>
      </w:r>
      <w:r>
        <w:t xml:space="preserve">In</w:t>
      </w:r>
      <w:r>
        <w:t xml:space="preserve"> </w:t>
      </w:r>
      <w:r>
        <w:rPr>
          <w:iCs/>
          <w:i/>
        </w:rPr>
        <w:t xml:space="preserve">Proceedings of the 36th International Conference on Machine Learning (ICML 2019)</w:t>
      </w:r>
      <w:r>
        <w:t xml:space="preserve">, PMLR 97, pp. 6105–6114.</w:t>
      </w:r>
    </w:p>
    <w:p>
      <w:pPr>
        <w:numPr>
          <w:ilvl w:val="0"/>
          <w:numId w:val="1007"/>
        </w:numPr>
        <w:pStyle w:val="Compact"/>
      </w:pPr>
      <w:r>
        <w:t xml:space="preserve">Dosovitskiy, A., Beyer, L., Kolesnikov, A., Weissenborn, D., Zhai, X., Unterthiner, T., Dehghani, M., Minderer, M., Heigold, G., Gelly, S., Uszkoreit, J., &amp; Houlsby, N. (2021).</w:t>
      </w:r>
      <w:r>
        <w:t xml:space="preserve"> </w:t>
      </w:r>
      <w:r>
        <w:t xml:space="preserve">“</w:t>
      </w:r>
      <w:r>
        <w:t xml:space="preserve">An Image is Worth 16x16 Words: Transformers for Image Recognition at Scale.</w:t>
      </w:r>
      <w:r>
        <w:t xml:space="preserve">”</w:t>
      </w:r>
      <w:r>
        <w:t xml:space="preserve"> </w:t>
      </w:r>
      <w:r>
        <w:t xml:space="preserve">In</w:t>
      </w:r>
      <w:r>
        <w:t xml:space="preserve"> </w:t>
      </w:r>
      <w:r>
        <w:rPr>
          <w:iCs/>
          <w:i/>
        </w:rPr>
        <w:t xml:space="preserve">International Conference on Learning Representations (ICLR 2021)</w:t>
      </w:r>
      <w:r>
        <w:t xml:space="preserve">.</w:t>
      </w:r>
    </w:p>
    <w:p>
      <w:pPr>
        <w:numPr>
          <w:ilvl w:val="0"/>
          <w:numId w:val="1007"/>
        </w:numPr>
        <w:pStyle w:val="Compact"/>
      </w:pPr>
      <w:r>
        <w:t xml:space="preserve">Vaswani, A., Shazeer, N., Parmar, N., Uszkoreit, J., Jones, L., Gomez, A. N., Kaiser, Ł., &amp; Polosukhin, I. (2017).</w:t>
      </w:r>
      <w:r>
        <w:t xml:space="preserve"> </w:t>
      </w:r>
      <w:r>
        <w:t xml:space="preserve">“</w:t>
      </w:r>
      <w:r>
        <w:t xml:space="preserve">Attention Is All You Need.</w:t>
      </w:r>
      <w:r>
        <w:t xml:space="preserve">”</w:t>
      </w:r>
      <w:r>
        <w:t xml:space="preserve"> </w:t>
      </w:r>
      <w:r>
        <w:t xml:space="preserve">In</w:t>
      </w:r>
      <w:r>
        <w:t xml:space="preserve"> </w:t>
      </w:r>
      <w:r>
        <w:rPr>
          <w:iCs/>
          <w:i/>
        </w:rPr>
        <w:t xml:space="preserve">Advances in Neural Information Processing Systems (NeurIPS 2017)</w:t>
      </w:r>
      <w:r>
        <w:t xml:space="preserve">, Vol. 30, pp. 5998–6008.</w:t>
      </w:r>
    </w:p>
    <w:p>
      <w:pPr>
        <w:numPr>
          <w:ilvl w:val="0"/>
          <w:numId w:val="1007"/>
        </w:numPr>
        <w:pStyle w:val="Compact"/>
      </w:pPr>
      <w:r>
        <w:t xml:space="preserve">Loshchilov, I., &amp; Hutter, F. (2019).</w:t>
      </w:r>
      <w:r>
        <w:t xml:space="preserve"> </w:t>
      </w:r>
      <w:r>
        <w:t xml:space="preserve">“</w:t>
      </w:r>
      <w:r>
        <w:t xml:space="preserve">Decoupled Weight Decay Regularization.</w:t>
      </w:r>
      <w:r>
        <w:t xml:space="preserve">”</w:t>
      </w:r>
      <w:r>
        <w:t xml:space="preserve"> </w:t>
      </w:r>
      <w:r>
        <w:t xml:space="preserve">In</w:t>
      </w:r>
      <w:r>
        <w:t xml:space="preserve"> </w:t>
      </w:r>
      <w:r>
        <w:rPr>
          <w:iCs/>
          <w:i/>
        </w:rPr>
        <w:t xml:space="preserve">International Conference on Learning Representations (ICLR 2019)</w:t>
      </w:r>
      <w:r>
        <w:t xml:space="preserve">.</w:t>
      </w:r>
    </w:p>
    <w:p>
      <w:pPr>
        <w:numPr>
          <w:ilvl w:val="0"/>
          <w:numId w:val="1007"/>
        </w:numPr>
        <w:pStyle w:val="Compact"/>
      </w:pPr>
      <w:r>
        <w:t xml:space="preserve">McNemar, Q. (1947).</w:t>
      </w:r>
      <w:r>
        <w:t xml:space="preserve"> </w:t>
      </w:r>
      <w:r>
        <w:t xml:space="preserve">“</w:t>
      </w:r>
      <w:r>
        <w:t xml:space="preserve">Note on the Sampling Error of the Difference Between Correlated Proportions or Percentages.</w:t>
      </w:r>
      <w:r>
        <w:t xml:space="preserve">”</w:t>
      </w:r>
      <w:r>
        <w:t xml:space="preserve"> </w:t>
      </w:r>
      <w:r>
        <w:rPr>
          <w:iCs/>
          <w:i/>
        </w:rPr>
        <w:t xml:space="preserve">Psychometrika</w:t>
      </w:r>
      <w:r>
        <w:t xml:space="preserve">, 12(2), 153–157.</w:t>
      </w:r>
    </w:p>
    <w:p>
      <w:pPr>
        <w:numPr>
          <w:ilvl w:val="0"/>
          <w:numId w:val="1007"/>
        </w:numPr>
        <w:pStyle w:val="Compact"/>
      </w:pPr>
      <w:r>
        <w:t xml:space="preserve">Wilcoxon, F. (1945).</w:t>
      </w:r>
      <w:r>
        <w:t xml:space="preserve"> </w:t>
      </w:r>
      <w:r>
        <w:t xml:space="preserve">“</w:t>
      </w:r>
      <w:r>
        <w:t xml:space="preserve">Individual Comparisons by Ranking Methods.</w:t>
      </w:r>
      <w:r>
        <w:t xml:space="preserve">”</w:t>
      </w:r>
      <w:r>
        <w:t xml:space="preserve"> </w:t>
      </w:r>
      <w:r>
        <w:rPr>
          <w:iCs/>
          <w:i/>
        </w:rPr>
        <w:t xml:space="preserve">Biometrics Bulletin</w:t>
      </w:r>
      <w:r>
        <w:t xml:space="preserve">, 1(6), 80–83.</w:t>
      </w:r>
    </w:p>
    <w:p>
      <w:pPr>
        <w:numPr>
          <w:ilvl w:val="0"/>
          <w:numId w:val="1007"/>
        </w:numPr>
        <w:pStyle w:val="Compact"/>
      </w:pPr>
      <w:r>
        <w:t xml:space="preserve">Clopper, C. J., &amp; Pearson, E. S. (1934).</w:t>
      </w:r>
      <w:r>
        <w:t xml:space="preserve"> </w:t>
      </w:r>
      <w:r>
        <w:t xml:space="preserve">“</w:t>
      </w:r>
      <w:r>
        <w:t xml:space="preserve">The Use of Confidence or Fiducial Limits Illustrated in the Case of the Binomial.</w:t>
      </w:r>
      <w:r>
        <w:t xml:space="preserve">”</w:t>
      </w:r>
      <w:r>
        <w:t xml:space="preserve"> </w:t>
      </w:r>
      <w:r>
        <w:rPr>
          <w:iCs/>
          <w:i/>
        </w:rPr>
        <w:t xml:space="preserve">Biometrika</w:t>
      </w:r>
      <w:r>
        <w:t xml:space="preserve">, 26(4), 404–413.</w:t>
      </w:r>
    </w:p>
    <w:p>
      <w:pPr>
        <w:numPr>
          <w:ilvl w:val="0"/>
          <w:numId w:val="1007"/>
        </w:numPr>
        <w:pStyle w:val="Compact"/>
      </w:pPr>
      <w:r>
        <w:t xml:space="preserve">Wilson, E. B. (1927).</w:t>
      </w:r>
      <w:r>
        <w:t xml:space="preserve"> </w:t>
      </w:r>
      <w:r>
        <w:t xml:space="preserve">“</w:t>
      </w:r>
      <w:r>
        <w:t xml:space="preserve">Probable Inference, the Law of Large Numbers, and Runge’s Theorem.</w:t>
      </w:r>
      <w:r>
        <w:t xml:space="preserve">”</w:t>
      </w:r>
      <w:r>
        <w:t xml:space="preserve"> </w:t>
      </w:r>
      <w:r>
        <w:rPr>
          <w:iCs/>
          <w:i/>
        </w:rPr>
        <w:t xml:space="preserve">Journal of the American Statistical Association</w:t>
      </w:r>
      <w:r>
        <w:t xml:space="preserve">, 22(158), 209–212.</w:t>
      </w:r>
    </w:p>
    <w:p>
      <w:r>
        <w:pict>
          <v:rect style="width:0;height:1.5pt" o:hralign="center" o:hrstd="t" o:hr="t"/>
        </w:pict>
      </w:r>
    </w:p>
    <w:bookmarkEnd w:id="72"/>
    <w:bookmarkStart w:id="78" w:name="reproducibility-appendix"/>
    <w:p>
      <w:pPr>
        <w:pStyle w:val="Heading2"/>
      </w:pPr>
      <w:r>
        <w:t xml:space="preserve">14. Reproducibility Appendix</w:t>
      </w:r>
    </w:p>
    <w:bookmarkStart w:id="76" w:name="a.-artifact-inventory-checkpoint-hashes"/>
    <w:p>
      <w:pPr>
        <w:pStyle w:val="Heading3"/>
      </w:pPr>
      <w:r>
        <w:t xml:space="preserve">A. Artifact Inventory &amp; Checkpoint Hashes</w:t>
      </w:r>
    </w:p>
    <w:p>
      <w:pPr>
        <w:numPr>
          <w:ilvl w:val="0"/>
          <w:numId w:val="1008"/>
        </w:numPr>
        <w:pStyle w:val="Compact"/>
      </w:pPr>
      <w:r>
        <w:rPr>
          <w:bCs/>
          <w:b/>
        </w:rPr>
        <w:t xml:space="preserve">Splits Manifest:</w:t>
      </w:r>
      <w:r>
        <w:t xml:space="preserve"> </w:t>
      </w:r>
      <w:r>
        <w:rPr>
          <w:rStyle w:val="VerbatimChar"/>
        </w:rPr>
        <w:t xml:space="preserve">data/splits/patient_stratified_split.json</w:t>
      </w:r>
      <w:r>
        <w:br/>
      </w:r>
      <w:r>
        <w:t xml:space="preserve">SHA-256:</w:t>
      </w:r>
      <w:r>
        <w:t xml:space="preserve"> </w:t>
      </w:r>
      <w:r>
        <w:rPr>
          <w:rStyle w:val="VerbatimChar"/>
        </w:rPr>
        <w:t xml:space="preserve">b1e28b17c34b618dc0937964a677ea8b06884ae5c8ea8bd6d7e48c17e006a8ef</w:t>
      </w:r>
    </w:p>
    <w:p>
      <w:pPr>
        <w:numPr>
          <w:ilvl w:val="0"/>
          <w:numId w:val="1008"/>
        </w:numPr>
        <w:pStyle w:val="Compact"/>
      </w:pPr>
      <w:r>
        <w:rPr>
          <w:bCs/>
          <w:b/>
        </w:rPr>
        <w:t xml:space="preserve">Annotations TSV:</w:t>
      </w:r>
      <w:r>
        <w:t xml:space="preserve"> </w:t>
      </w:r>
      <w:r>
        <w:rPr>
          <w:rStyle w:val="VerbatimChar"/>
        </w:rPr>
        <w:t xml:space="preserve">BCMID_annotations.tsv</w:t>
      </w:r>
      <w:r>
        <w:br/>
      </w:r>
      <w:r>
        <w:t xml:space="preserve">SHA-256:</w:t>
      </w:r>
      <w:r>
        <w:t xml:space="preserve"> </w:t>
      </w:r>
      <w:r>
        <w:rPr>
          <w:rStyle w:val="VerbatimChar"/>
        </w:rPr>
        <w:t xml:space="preserve">a22a05a6344a6f4cbf0d270e7c644450d42c6ea5aeea847d61a841d99f9b0aca</w:t>
      </w:r>
    </w:p>
    <w:p>
      <w:pPr>
        <w:numPr>
          <w:ilvl w:val="0"/>
          <w:numId w:val="1008"/>
        </w:numPr>
        <w:pStyle w:val="Compact"/>
      </w:pPr>
      <w:r>
        <w:rPr>
          <w:bCs/>
          <w:b/>
        </w:rPr>
        <w:t xml:space="preserve">Feature Cache:</w:t>
      </w:r>
      <w:r>
        <w:t xml:space="preserve"> </w:t>
      </w:r>
      <w:r>
        <w:rPr>
          <w:rStyle w:val="VerbatimChar"/>
        </w:rPr>
        <w:t xml:space="preserve">data/features/patient_multimodal_features.pt</w:t>
      </w:r>
      <w:r>
        <w:br/>
      </w:r>
      <w:r>
        <w:t xml:space="preserve">SHA-256:</w:t>
      </w:r>
      <w:r>
        <w:t xml:space="preserve"> </w:t>
      </w:r>
      <w:r>
        <w:rPr>
          <w:rStyle w:val="VerbatimChar"/>
        </w:rPr>
        <w:t xml:space="preserve">4a7ae4f20085a2f9be61dc9d2f73d2b84f782cd080f18860703d09b2b3f11bb6</w:t>
      </w:r>
    </w:p>
    <w:p>
      <w:pPr>
        <w:numPr>
          <w:ilvl w:val="0"/>
          <w:numId w:val="1008"/>
        </w:numPr>
        <w:pStyle w:val="Compact"/>
      </w:pPr>
      <w:r>
        <w:rPr>
          <w:bCs/>
          <w:b/>
        </w:rPr>
        <w:t xml:space="preserve">Benchmark C3 Checkpoint:</w:t>
      </w:r>
      <w:r>
        <w:t xml:space="preserve"> </w:t>
      </w:r>
      <w:r>
        <w:rPr>
          <w:rStyle w:val="VerbatimChar"/>
        </w:rPr>
        <w:t xml:space="preserve">outputs/experiments/phase_c/exp_c3_git1_focal_gamma1_5/best_checkpoint.pth</w:t>
      </w:r>
      <w:r>
        <w:br/>
      </w:r>
      <w:r>
        <w:t xml:space="preserve">SHA-256:</w:t>
      </w:r>
      <w:r>
        <w:t xml:space="preserve"> </w:t>
      </w:r>
      <w:r>
        <w:rPr>
          <w:rStyle w:val="VerbatimChar"/>
        </w:rPr>
        <w:t xml:space="preserve">9a60e5110973660b2d6ab4fd777c47e73124174678e84b8457494da757dafbc8</w:t>
      </w:r>
    </w:p>
    <w:p>
      <w:pPr>
        <w:numPr>
          <w:ilvl w:val="0"/>
          <w:numId w:val="1008"/>
        </w:numPr>
        <w:pStyle w:val="Compact"/>
      </w:pPr>
      <w:r>
        <w:rPr>
          <w:bCs/>
          <w:b/>
        </w:rPr>
        <w:t xml:space="preserve">Candidate D5 Checkpoint:</w:t>
      </w:r>
      <w:r>
        <w:t xml:space="preserve"> </w:t>
      </w:r>
      <w:r>
        <w:rPr>
          <w:rStyle w:val="VerbatimChar"/>
        </w:rPr>
        <w:t xml:space="preserve">outputs/phase_d/experiments/exp_d5_lr5e-5/best_checkpoint.pth</w:t>
      </w:r>
      <w:r>
        <w:br/>
      </w:r>
      <w:r>
        <w:t xml:space="preserve">SHA-256:</w:t>
      </w:r>
      <w:r>
        <w:t xml:space="preserve"> </w:t>
      </w:r>
      <w:r>
        <w:rPr>
          <w:rStyle w:val="VerbatimChar"/>
        </w:rPr>
        <w:t xml:space="preserve">e79338f82492e654ceab798250092c86e0e229cace83ea5d28a67a98db8c9e7b</w:t>
      </w:r>
    </w:p>
    <w:p>
      <w:pPr>
        <w:numPr>
          <w:ilvl w:val="0"/>
          <w:numId w:val="1008"/>
        </w:numPr>
        <w:pStyle w:val="Compact"/>
      </w:pPr>
      <w:r>
        <w:rPr>
          <w:bCs/>
          <w:b/>
        </w:rPr>
        <w:t xml:space="preserve">Primary Execution Scripts:</w:t>
      </w:r>
    </w:p>
    <w:p>
      <w:pPr>
        <w:numPr>
          <w:ilvl w:val="1"/>
          <w:numId w:val="1009"/>
        </w:numPr>
        <w:pStyle w:val="Compact"/>
      </w:pPr>
      <w:r>
        <w:t xml:space="preserve">Locked Evaluation:</w:t>
      </w:r>
      <w:r>
        <w:t xml:space="preserve"> </w:t>
      </w:r>
      <w:hyperlink r:id="rId73">
        <w:r>
          <w:rPr>
            <w:rStyle w:val="VerbatimChar"/>
          </w:rPr>
          <w:t xml:space="preserve">scripts/evaluate_phase_d8_locked.py</w:t>
        </w:r>
      </w:hyperlink>
    </w:p>
    <w:p>
      <w:pPr>
        <w:numPr>
          <w:ilvl w:val="1"/>
          <w:numId w:val="1009"/>
        </w:numPr>
        <w:pStyle w:val="Compact"/>
      </w:pPr>
      <w:r>
        <w:t xml:space="preserve">Figure &amp; Table Prep:</w:t>
      </w:r>
      <w:r>
        <w:t xml:space="preserve"> </w:t>
      </w:r>
      <w:hyperlink r:id="rId74">
        <w:r>
          <w:rPr>
            <w:rStyle w:val="VerbatimChar"/>
          </w:rPr>
          <w:t xml:space="preserve">scripts/prepare_phase_d9_figures_and_tables.py</w:t>
        </w:r>
      </w:hyperlink>
    </w:p>
    <w:p>
      <w:pPr>
        <w:numPr>
          <w:ilvl w:val="0"/>
          <w:numId w:val="1008"/>
        </w:numPr>
        <w:pStyle w:val="Compact"/>
      </w:pPr>
      <w:r>
        <w:rPr>
          <w:bCs/>
          <w:b/>
        </w:rPr>
        <w:t xml:space="preserve">Primary Output Directory:</w:t>
      </w:r>
      <w:r>
        <w:t xml:space="preserve"> </w:t>
      </w:r>
      <w:hyperlink r:id="rId75">
        <w:r>
          <w:rPr>
            <w:rStyle w:val="VerbatimChar"/>
          </w:rPr>
          <w:t xml:space="preserve">outputs/phase_d/phase_d9_research_consolidation/</w:t>
        </w:r>
      </w:hyperlink>
    </w:p>
    <w:bookmarkEnd w:id="76"/>
    <w:bookmarkStart w:id="77" w:name="b.-hardware-software-environment"/>
    <w:p>
      <w:pPr>
        <w:pStyle w:val="Heading3"/>
      </w:pPr>
      <w:r>
        <w:t xml:space="preserve">B. Hardware &amp; Software Environment</w:t>
      </w:r>
    </w:p>
    <w:p>
      <w:pPr>
        <w:numPr>
          <w:ilvl w:val="0"/>
          <w:numId w:val="1010"/>
        </w:numPr>
        <w:pStyle w:val="Compact"/>
      </w:pPr>
      <w:r>
        <w:t xml:space="preserve">OS: Windows 11 Enterprise (Version 10.0.26200)</w:t>
      </w:r>
    </w:p>
    <w:p>
      <w:pPr>
        <w:numPr>
          <w:ilvl w:val="0"/>
          <w:numId w:val="1010"/>
        </w:numPr>
        <w:pStyle w:val="Compact"/>
      </w:pPr>
      <w:r>
        <w:t xml:space="preserve">Python: 3.13.5 (Anaconda 64-bit)</w:t>
      </w:r>
    </w:p>
    <w:p>
      <w:pPr>
        <w:numPr>
          <w:ilvl w:val="0"/>
          <w:numId w:val="1010"/>
        </w:numPr>
        <w:pStyle w:val="Compact"/>
      </w:pPr>
      <w:r>
        <w:t xml:space="preserve">PyTorch: 2.7.1+cu118</w:t>
      </w:r>
    </w:p>
    <w:p>
      <w:pPr>
        <w:numPr>
          <w:ilvl w:val="0"/>
          <w:numId w:val="1010"/>
        </w:numPr>
        <w:pStyle w:val="Compact"/>
      </w:pPr>
      <w:r>
        <w:t xml:space="preserve">CUDA: 11.8 on NVIDIA GeForce MX550 (2048 MB VRAM)</w:t>
      </w:r>
    </w:p>
    <w:p>
      <w:pPr>
        <w:numPr>
          <w:ilvl w:val="0"/>
          <w:numId w:val="1010"/>
        </w:numPr>
        <w:pStyle w:val="Compact"/>
      </w:pPr>
      <w:r>
        <w:t xml:space="preserve">Scikit-learn: 1.6.1 | Pandas: 2.2.3 | NumPy: 2.1.3 | Scipy: 1.15.3 | Statsmodels: 0.14.4</w:t>
      </w:r>
    </w:p>
    <w:p>
      <w:pPr>
        <w:numPr>
          <w:ilvl w:val="0"/>
          <w:numId w:val="1010"/>
        </w:numPr>
        <w:pStyle w:val="Compact"/>
      </w:pPr>
      <w:r>
        <w:t xml:space="preserve">Peak VRAM during inference:</w:t>
      </w:r>
      <w:r>
        <w:t xml:space="preserve"> </w:t>
      </w:r>
      <w:r>
        <w:rPr>
          <w:bCs/>
          <w:b/>
        </w:rPr>
        <w:t xml:space="preserve">105.52 MB</w:t>
      </w:r>
    </w:p>
    <w:p>
      <w:pPr>
        <w:numPr>
          <w:ilvl w:val="0"/>
          <w:numId w:val="1010"/>
        </w:numPr>
        <w:pStyle w:val="Compact"/>
      </w:pPr>
      <w:r>
        <w:t xml:space="preserve">Evaluation wall-clock runtime:</w:t>
      </w:r>
      <w:r>
        <w:t xml:space="preserve"> </w:t>
      </w:r>
      <w:r>
        <w:rPr>
          <w:bCs/>
          <w:b/>
        </w:rPr>
        <w:t xml:space="preserve">~35 seconds</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53" Target="media/rId53.png" /><Relationship Type="http://schemas.openxmlformats.org/officeDocument/2006/relationships/image" Id="rId30" Target="media/rId30.png"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56" Target="media/rId56.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48" Target="media/rId48.png" /><Relationship Type="http://schemas.openxmlformats.org/officeDocument/2006/relationships/hyperlink" Id="rId34" Target="file:///c:/Users/admin/Music/Breast%20Cancer1/data/features/patient_multimodal_features.pt" TargetMode="External" /><Relationship Type="http://schemas.openxmlformats.org/officeDocument/2006/relationships/hyperlink" Id="rId62" Target="file:///c:/Users/admin/Music/Breast%20Cancer1/outputs/phase_d/phase_d8_final_evaluation/historical_metric_reconciliation.md" TargetMode="External" /><Relationship Type="http://schemas.openxmlformats.org/officeDocument/2006/relationships/hyperlink" Id="rId52" Target="file:///c:/Users/admin/Music/Breast%20Cancer1/outputs/phase_d/phase_d8_final_evaluation/pre_evaluation_integrity_report.md" TargetMode="External" /><Relationship Type="http://schemas.openxmlformats.org/officeDocument/2006/relationships/hyperlink" Id="rId75" Target="file:///c:/Users/admin/Music/Breast%20Cancer1/outputs/phase_d/phase_d9_research_consolidation/" TargetMode="External" /><Relationship Type="http://schemas.openxmlformats.org/officeDocument/2006/relationships/hyperlink" Id="rId73" Target="file:///c:/Users/admin/Music/Breast%20Cancer1/scripts/evaluate_phase_d8_locked.py" TargetMode="External" /><Relationship Type="http://schemas.openxmlformats.org/officeDocument/2006/relationships/hyperlink" Id="rId74" Target="file:///c:/Users/admin/Music/Breast%20Cancer1/scripts/prepare_phase_d9_figures_and_tables.py" TargetMode="External" /></Relationships>
</file>

<file path=word/_rels/footnotes.xml.rels><?xml version="1.0" encoding="UTF-8"?><Relationships xmlns="http://schemas.openxmlformats.org/package/2006/relationships"><Relationship Type="http://schemas.openxmlformats.org/officeDocument/2006/relationships/hyperlink" Id="rId34" Target="file:///c:/Users/admin/Music/Breast%20Cancer1/data/features/patient_multimodal_features.pt" TargetMode="External" /><Relationship Type="http://schemas.openxmlformats.org/officeDocument/2006/relationships/hyperlink" Id="rId62" Target="file:///c:/Users/admin/Music/Breast%20Cancer1/outputs/phase_d/phase_d8_final_evaluation/historical_metric_reconciliation.md" TargetMode="External" /><Relationship Type="http://schemas.openxmlformats.org/officeDocument/2006/relationships/hyperlink" Id="rId52" Target="file:///c:/Users/admin/Music/Breast%20Cancer1/outputs/phase_d/phase_d8_final_evaluation/pre_evaluation_integrity_report.md" TargetMode="External" /><Relationship Type="http://schemas.openxmlformats.org/officeDocument/2006/relationships/hyperlink" Id="rId75" Target="file:///c:/Users/admin/Music/Breast%20Cancer1/outputs/phase_d/phase_d9_research_consolidation/" TargetMode="External" /><Relationship Type="http://schemas.openxmlformats.org/officeDocument/2006/relationships/hyperlink" Id="rId73" Target="file:///c:/Users/admin/Music/Breast%20Cancer1/scripts/evaluate_phase_d8_locked.py" TargetMode="External" /><Relationship Type="http://schemas.openxmlformats.org/officeDocument/2006/relationships/hyperlink" Id="rId74" Target="file:///c:/Users/admin/Music/Breast%20Cancer1/scripts/prepare_phase_d9_figures_and_tables.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2026-10-16T05:35:24Z</dcterms:created>
  <dcterms:modified xsi:type="dcterms:W3CDTF">2026-10-16T05:35:24Z</dcterms:modified>
</cp:coreProperties>
</file>

<file path=docProps/custom.xml><?xml version="1.0" encoding="utf-8"?>
<Properties xmlns="http://schemas.openxmlformats.org/officeDocument/2006/custom-properties" xmlns:vt="http://schemas.openxmlformats.org/officeDocument/2006/docPropsVTypes"/>
</file>