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SOLUCIÓN TECNOLÓGICA PARA LA OPTIMIZACIÓN EN LA GESTIÓN DE RECURSOS HÍDRICOS EN EL PERÚ APLICANDO BUSINESS INTELLIGENCE</w:t>
      </w:r>
    </w:p>
    <w:p w:rsidR="00000000" w:rsidDel="00000000" w:rsidP="00000000" w:rsidRDefault="00000000" w:rsidRPr="00000000" w14:paraId="00000002">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Documento de Diseño de Arquitectura</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Versión 2.0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03 de abril del 2025</w:t>
      </w:r>
    </w:p>
    <w:p w:rsidR="00000000" w:rsidDel="00000000" w:rsidP="00000000" w:rsidRDefault="00000000" w:rsidRPr="00000000" w14:paraId="0000000C">
      <w:pPr>
        <w:spacing w:after="240" w:before="6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480" w:lineRule="auto"/>
            <w:rPr>
              <w:rFonts w:ascii="Times New Roman" w:cs="Times New Roman" w:eastAsia="Times New Roman" w:hAnsi="Times New Roman"/>
              <w:b w:val="1"/>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1"/>
                <w:color w:val="000000"/>
                <w:sz w:val="24"/>
                <w:szCs w:val="24"/>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480" w:lineRule="auto"/>
            <w:rPr>
              <w:rFonts w:ascii="Times New Roman" w:cs="Times New Roman" w:eastAsia="Times New Roman" w:hAnsi="Times New Roman"/>
              <w:b w:val="1"/>
              <w:color w:val="000000"/>
              <w:sz w:val="24"/>
              <w:szCs w:val="24"/>
            </w:rPr>
          </w:pPr>
          <w:hyperlink w:anchor="_heading=">
            <w:r w:rsidDel="00000000" w:rsidR="00000000" w:rsidRPr="00000000">
              <w:rPr>
                <w:rFonts w:ascii="Times New Roman" w:cs="Times New Roman" w:eastAsia="Times New Roman" w:hAnsi="Times New Roman"/>
                <w:b w:val="1"/>
                <w:color w:val="000000"/>
                <w:sz w:val="24"/>
                <w:szCs w:val="24"/>
                <w:rtl w:val="0"/>
              </w:rPr>
              <w:t xml:space="preserve">2. Objetivo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480" w:lineRule="auto"/>
            <w:rPr>
              <w:rFonts w:ascii="Times New Roman" w:cs="Times New Roman" w:eastAsia="Times New Roman" w:hAnsi="Times New Roman"/>
              <w:b w:val="1"/>
              <w:color w:val="000000"/>
              <w:sz w:val="24"/>
              <w:szCs w:val="24"/>
            </w:rPr>
          </w:pPr>
          <w:hyperlink w:anchor="_heading=">
            <w:r w:rsidDel="00000000" w:rsidR="00000000" w:rsidRPr="00000000">
              <w:rPr>
                <w:rFonts w:ascii="Times New Roman" w:cs="Times New Roman" w:eastAsia="Times New Roman" w:hAnsi="Times New Roman"/>
                <w:b w:val="1"/>
                <w:color w:val="000000"/>
                <w:sz w:val="24"/>
                <w:szCs w:val="24"/>
                <w:rtl w:val="0"/>
              </w:rPr>
              <w:t xml:space="preserve">3. Visión General de la Arquitectura</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rPr>
          </w:pPr>
          <w:hyperlink w:anchor="_heading=">
            <w:r w:rsidDel="00000000" w:rsidR="00000000" w:rsidRPr="00000000">
              <w:rPr>
                <w:rFonts w:ascii="Times New Roman" w:cs="Times New Roman" w:eastAsia="Times New Roman" w:hAnsi="Times New Roman"/>
                <w:color w:val="000000"/>
                <w:sz w:val="24"/>
                <w:szCs w:val="24"/>
                <w:rtl w:val="0"/>
              </w:rPr>
              <w:t xml:space="preserve">a. Diagrama general de arquitectura</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rPr>
          </w:pPr>
          <w:hyperlink w:anchor="_heading=">
            <w:r w:rsidDel="00000000" w:rsidR="00000000" w:rsidRPr="00000000">
              <w:rPr>
                <w:rFonts w:ascii="Times New Roman" w:cs="Times New Roman" w:eastAsia="Times New Roman" w:hAnsi="Times New Roman"/>
                <w:color w:val="000000"/>
                <w:sz w:val="24"/>
                <w:szCs w:val="24"/>
                <w:rtl w:val="0"/>
              </w:rPr>
              <w:t xml:space="preserve">b. Descripción de componentes principales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480" w:lineRule="auto"/>
            <w:rPr/>
          </w:pPr>
          <w:hyperlink w:anchor="_heading=">
            <w:r w:rsidDel="00000000" w:rsidR="00000000" w:rsidRPr="00000000">
              <w:rPr>
                <w:rFonts w:ascii="Times New Roman" w:cs="Times New Roman" w:eastAsia="Times New Roman" w:hAnsi="Times New Roman"/>
                <w:b w:val="1"/>
                <w:color w:val="000000"/>
                <w:sz w:val="24"/>
                <w:szCs w:val="24"/>
                <w:rtl w:val="0"/>
              </w:rPr>
              <w:t xml:space="preserve">4. Arquitectura Física</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480" w:lineRule="auto"/>
            <w:rPr>
              <w:rFonts w:ascii="Times New Roman" w:cs="Times New Roman" w:eastAsia="Times New Roman" w:hAnsi="Times New Roman"/>
              <w:b w:val="1"/>
              <w:color w:val="000000"/>
              <w:sz w:val="24"/>
              <w:szCs w:val="24"/>
            </w:rPr>
          </w:pPr>
          <w:hyperlink w:anchor="_heading=">
            <w:r w:rsidDel="00000000" w:rsidR="00000000" w:rsidRPr="00000000">
              <w:rPr>
                <w:rFonts w:ascii="Times New Roman" w:cs="Times New Roman" w:eastAsia="Times New Roman" w:hAnsi="Times New Roman"/>
                <w:b w:val="1"/>
                <w:color w:val="000000"/>
                <w:sz w:val="24"/>
                <w:szCs w:val="24"/>
                <w:rtl w:val="0"/>
              </w:rPr>
              <w:t xml:space="preserve">5. Arquitectura Lógica</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480" w:lineRule="auto"/>
            <w:rPr>
              <w:rFonts w:ascii="Times New Roman" w:cs="Times New Roman" w:eastAsia="Times New Roman" w:hAnsi="Times New Roman"/>
              <w:b w:val="1"/>
              <w:color w:val="000000"/>
              <w:sz w:val="24"/>
              <w:szCs w:val="24"/>
            </w:rPr>
          </w:pPr>
          <w:hyperlink w:anchor="_heading=">
            <w:r w:rsidDel="00000000" w:rsidR="00000000" w:rsidRPr="00000000">
              <w:rPr>
                <w:rFonts w:ascii="Times New Roman" w:cs="Times New Roman" w:eastAsia="Times New Roman" w:hAnsi="Times New Roman"/>
                <w:b w:val="1"/>
                <w:color w:val="000000"/>
                <w:sz w:val="24"/>
                <w:szCs w:val="24"/>
                <w:rtl w:val="0"/>
              </w:rPr>
              <w:t xml:space="preserve">6. Fuentes de datos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480" w:lineRule="auto"/>
            <w:ind w:left="360" w:firstLine="0"/>
            <w:rPr/>
          </w:pPr>
          <w:hyperlink w:anchor="_heading=">
            <w:r w:rsidDel="00000000" w:rsidR="00000000" w:rsidRPr="00000000">
              <w:rPr>
                <w:rFonts w:ascii="Times New Roman" w:cs="Times New Roman" w:eastAsia="Times New Roman" w:hAnsi="Times New Roman"/>
                <w:color w:val="000000"/>
                <w:sz w:val="24"/>
                <w:szCs w:val="24"/>
                <w:rtl w:val="0"/>
              </w:rPr>
              <w:t xml:space="preserve">a. Sistemas fuente</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480" w:lineRule="auto"/>
            <w:rPr>
              <w:rFonts w:ascii="Times New Roman" w:cs="Times New Roman" w:eastAsia="Times New Roman" w:hAnsi="Times New Roman"/>
              <w:b w:val="1"/>
              <w:color w:val="000000"/>
              <w:sz w:val="24"/>
              <w:szCs w:val="24"/>
            </w:rPr>
          </w:pPr>
          <w:hyperlink w:anchor="_heading=">
            <w:r w:rsidDel="00000000" w:rsidR="00000000" w:rsidRPr="00000000">
              <w:rPr>
                <w:rFonts w:ascii="Times New Roman" w:cs="Times New Roman" w:eastAsia="Times New Roman" w:hAnsi="Times New Roman"/>
                <w:b w:val="1"/>
                <w:color w:val="000000"/>
                <w:sz w:val="24"/>
                <w:szCs w:val="24"/>
                <w:rtl w:val="0"/>
              </w:rPr>
              <w:t xml:space="preserve">7. Procesos ETL</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rPr>
          </w:pPr>
          <w:hyperlink w:anchor="_heading=">
            <w:r w:rsidDel="00000000" w:rsidR="00000000" w:rsidRPr="00000000">
              <w:rPr>
                <w:rFonts w:ascii="Times New Roman" w:cs="Times New Roman" w:eastAsia="Times New Roman" w:hAnsi="Times New Roman"/>
                <w:color w:val="000000"/>
                <w:sz w:val="24"/>
                <w:szCs w:val="24"/>
                <w:rtl w:val="0"/>
              </w:rPr>
              <w:t xml:space="preserve">a. Herramientas utilizadas</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480" w:lineRule="auto"/>
            <w:rPr>
              <w:rFonts w:ascii="Times New Roman" w:cs="Times New Roman" w:eastAsia="Times New Roman" w:hAnsi="Times New Roman"/>
              <w:b w:val="1"/>
              <w:color w:val="000000"/>
              <w:sz w:val="24"/>
              <w:szCs w:val="24"/>
            </w:rPr>
          </w:pPr>
          <w:hyperlink w:anchor="_heading=">
            <w:r w:rsidDel="00000000" w:rsidR="00000000" w:rsidRPr="00000000">
              <w:rPr>
                <w:rFonts w:ascii="Times New Roman" w:cs="Times New Roman" w:eastAsia="Times New Roman" w:hAnsi="Times New Roman"/>
                <w:b w:val="1"/>
                <w:color w:val="000000"/>
                <w:sz w:val="24"/>
                <w:szCs w:val="24"/>
                <w:rtl w:val="0"/>
              </w:rPr>
              <w:t xml:space="preserve">8. Almacenamiento de Datos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480" w:lineRule="auto"/>
            <w:ind w:left="360" w:firstLine="0"/>
            <w:rPr/>
          </w:pPr>
          <w:hyperlink w:anchor="_heading=">
            <w:r w:rsidDel="00000000" w:rsidR="00000000" w:rsidRPr="00000000">
              <w:rPr>
                <w:rFonts w:ascii="Times New Roman" w:cs="Times New Roman" w:eastAsia="Times New Roman" w:hAnsi="Times New Roman"/>
                <w:color w:val="000000"/>
                <w:sz w:val="24"/>
                <w:szCs w:val="24"/>
                <w:rtl w:val="0"/>
              </w:rPr>
              <w:t xml:space="preserve">a. Data Warehouse</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spacing w:after="240" w:before="600" w:line="480"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C">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describe la arquitectura técnica de la tesis titulada Solución tecnológica para la optimización en la gestión de recursos hídricos en el Perú aplicando business intelligence, cuyo propósito es transformar datos dispersos en información estructurada, accesible y útil para la toma de decisiones y modelos predictivos. Este diseño técnico establece los componentes clave, herramientas y flujos de trabajo necesarios para garantizar una solución robusta.</w:t>
      </w:r>
    </w:p>
    <w:p w:rsidR="00000000" w:rsidDel="00000000" w:rsidP="00000000" w:rsidRDefault="00000000" w:rsidRPr="00000000" w14:paraId="0000001D">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enfoque se centra en integrar múltiples fuentes de datos, procesar y transformar esa información mediante procesos automatizados, almacenarla eficientemente, y finalmente presentarla a través de herramientas de análisis visual.</w:t>
      </w:r>
    </w:p>
    <w:p w:rsidR="00000000" w:rsidDel="00000000" w:rsidP="00000000" w:rsidRDefault="00000000" w:rsidRPr="00000000" w14:paraId="0000001E">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1F">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la arquitectura técnica que sustentará la solución de Business Intelligence, detallando los componentes tecnológicos, herramientas, procesos y buenas prácticas necesarios para capturar, transformar, almacenar, analizar y realizar modelos predictivos a partir de los datos, asegurando su calidad y disponibilidad.</w:t>
      </w:r>
    </w:p>
    <w:p w:rsidR="00000000" w:rsidDel="00000000" w:rsidP="00000000" w:rsidRDefault="00000000" w:rsidRPr="00000000" w14:paraId="00000020">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Visión General de la Arquitectura</w:t>
      </w:r>
    </w:p>
    <w:p w:rsidR="00000000" w:rsidDel="00000000" w:rsidP="00000000" w:rsidRDefault="00000000" w:rsidRPr="00000000" w14:paraId="0000002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En este primer módulo, se observará en detalle el flujo de trabajo del aporte.</w:t>
      </w:r>
      <w:r w:rsidDel="00000000" w:rsidR="00000000" w:rsidRPr="00000000">
        <w:rPr>
          <w:rtl w:val="0"/>
        </w:rPr>
      </w:r>
    </w:p>
    <w:p w:rsidR="00000000" w:rsidDel="00000000" w:rsidP="00000000" w:rsidRDefault="00000000" w:rsidRPr="00000000" w14:paraId="00000022">
      <w:pPr>
        <w:pStyle w:val="Heading2"/>
        <w:numPr>
          <w:ilvl w:val="1"/>
          <w:numId w:val="6"/>
        </w:numPr>
        <w:spacing w:after="24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general de arquitectura</w:t>
      </w:r>
    </w:p>
    <w:p w:rsidR="00000000" w:rsidDel="00000000" w:rsidP="00000000" w:rsidRDefault="00000000" w:rsidRPr="00000000" w14:paraId="00000023">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Figura 1 presenta el diagrama general de la arquitectura técnica propuesta. Este esquema ilustra el flujo completo de la interacción del usuario con el sistema a un nivel de Frontend, Backend, herramientas, tecnologías y su correlación entre sí. </w:t>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la arquitectura del aporte.</w:t>
      </w:r>
    </w:p>
    <w:p w:rsidR="00000000" w:rsidDel="00000000" w:rsidP="00000000" w:rsidRDefault="00000000" w:rsidRPr="00000000" w14:paraId="0000002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0" distT="0" distL="0" distR="0">
            <wp:extent cx="6207693" cy="3471550"/>
            <wp:effectExtent b="0" l="0" r="0" t="0"/>
            <wp:docPr descr="Diagrama&#10;&#10;El contenido generado por IA puede ser incorrecto." id="1553243521" name="image2.png"/>
            <a:graphic>
              <a:graphicData uri="http://schemas.openxmlformats.org/drawingml/2006/picture">
                <pic:pic>
                  <pic:nvPicPr>
                    <pic:cNvPr descr="Diagrama&#10;&#10;El contenido generado por IA puede ser incorrecto." id="0" name="image2.png"/>
                    <pic:cNvPicPr preferRelativeResize="0"/>
                  </pic:nvPicPr>
                  <pic:blipFill>
                    <a:blip r:embed="rId7"/>
                    <a:srcRect b="2296" l="2658" r="1983" t="2377"/>
                    <a:stretch>
                      <a:fillRect/>
                    </a:stretch>
                  </pic:blipFill>
                  <pic:spPr>
                    <a:xfrm>
                      <a:off x="0" y="0"/>
                      <a:ext cx="6207693" cy="34715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28">
      <w:pPr>
        <w:pStyle w:val="Heading2"/>
        <w:numPr>
          <w:ilvl w:val="1"/>
          <w:numId w:val="6"/>
        </w:numPr>
        <w:spacing w:after="240" w:before="60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componentes principales</w:t>
      </w:r>
    </w:p>
    <w:p w:rsidR="00000000" w:rsidDel="00000000" w:rsidP="00000000" w:rsidRDefault="00000000" w:rsidRPr="00000000" w14:paraId="0000002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describen los componentes principales que conforman la arquitectura técnica de la propuesta.</w:t>
      </w:r>
    </w:p>
    <w:p w:rsidR="00000000" w:rsidDel="00000000" w:rsidP="00000000" w:rsidRDefault="00000000" w:rsidRPr="00000000" w14:paraId="0000002A">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El frontend representa la interfaz de usuario con la que los usuarios finales interactúan para consultar información, visualizar datos y comunicarse con el sistema.</w:t>
      </w:r>
    </w:p>
    <w:p w:rsidR="00000000" w:rsidDel="00000000" w:rsidP="00000000" w:rsidRDefault="00000000" w:rsidRPr="00000000" w14:paraId="0000002B">
      <w:pPr>
        <w:numPr>
          <w:ilvl w:val="1"/>
          <w:numId w:val="3"/>
        </w:numPr>
        <w:spacing w:line="48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Tecnologías empleadas:</w:t>
      </w:r>
    </w:p>
    <w:p w:rsidR="00000000" w:rsidDel="00000000" w:rsidP="00000000" w:rsidRDefault="00000000" w:rsidRPr="00000000" w14:paraId="0000002C">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Framework principal para construir interfaces dinámicas y componentes reutilizables.</w:t>
      </w:r>
    </w:p>
    <w:p w:rsidR="00000000" w:rsidDel="00000000" w:rsidP="00000000" w:rsidRDefault="00000000" w:rsidRPr="00000000" w14:paraId="0000002D">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Vite: Herramienta moderna de desarrollo que optimiza la compilación del proyecto.</w:t>
      </w:r>
    </w:p>
    <w:p w:rsidR="00000000" w:rsidDel="00000000" w:rsidP="00000000" w:rsidRDefault="00000000" w:rsidRPr="00000000" w14:paraId="0000002E">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Actúa como puente entre frontend y backend en tiempo de ejecución.</w:t>
      </w:r>
    </w:p>
    <w:p w:rsidR="00000000" w:rsidDel="00000000" w:rsidP="00000000" w:rsidRDefault="00000000" w:rsidRPr="00000000" w14:paraId="0000002F">
      <w:pPr>
        <w:numPr>
          <w:ilvl w:val="1"/>
          <w:numId w:val="3"/>
        </w:numPr>
        <w:spacing w:line="48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Módulos funcionales:</w:t>
      </w:r>
    </w:p>
    <w:p w:rsidR="00000000" w:rsidDel="00000000" w:rsidP="00000000" w:rsidRDefault="00000000" w:rsidRPr="00000000" w14:paraId="00000030">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principal: Vista de bienvenida y navegación general.</w:t>
      </w:r>
    </w:p>
    <w:p w:rsidR="00000000" w:rsidDel="00000000" w:rsidP="00000000" w:rsidRDefault="00000000" w:rsidRPr="00000000" w14:paraId="00000031">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de Gastos: Panel para visualizar indicadores presupuestales.</w:t>
      </w:r>
    </w:p>
    <w:p w:rsidR="00000000" w:rsidDel="00000000" w:rsidP="00000000" w:rsidRDefault="00000000" w:rsidRPr="00000000" w14:paraId="00000032">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de Agua Potable y Alcantarillado: Módulo para mostrar cobertura y calidad del servicio.</w:t>
      </w:r>
    </w:p>
    <w:p w:rsidR="00000000" w:rsidDel="00000000" w:rsidP="00000000" w:rsidRDefault="00000000" w:rsidRPr="00000000" w14:paraId="00000033">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Asistente conversacional integrado para consultas automatizadas y guía en el uso de la plataforma.</w:t>
      </w:r>
    </w:p>
    <w:p w:rsidR="00000000" w:rsidDel="00000000" w:rsidP="00000000" w:rsidRDefault="00000000" w:rsidRPr="00000000" w14:paraId="00000034">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El backend administra la lógica de negocio, procesamiento de lenguaje natural, conexiones con bases de datos y manejo de APIs.</w:t>
      </w:r>
    </w:p>
    <w:p w:rsidR="00000000" w:rsidDel="00000000" w:rsidP="00000000" w:rsidRDefault="00000000" w:rsidRPr="00000000" w14:paraId="00000035">
      <w:pPr>
        <w:numPr>
          <w:ilvl w:val="1"/>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Componentes clave:</w:t>
      </w:r>
    </w:p>
    <w:p w:rsidR="00000000" w:rsidDel="00000000" w:rsidP="00000000" w:rsidRDefault="00000000" w:rsidRPr="00000000" w14:paraId="00000036">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Langchain: Orquestador de flujos conversacionales. El cual se conecta con modelos de lenguaje (LLM) y bases vectoriales.</w:t>
      </w:r>
    </w:p>
    <w:p w:rsidR="00000000" w:rsidDel="00000000" w:rsidP="00000000" w:rsidRDefault="00000000" w:rsidRPr="00000000" w14:paraId="00000037">
      <w:pPr>
        <w:numPr>
          <w:ilvl w:val="2"/>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OLlama + Deepseek: Modelos LLM que alimentan el chatbot para interpretar preguntas complejas. Además, ofrece comprensión semántica y contextual de las consultas.</w:t>
      </w:r>
    </w:p>
    <w:p w:rsidR="00000000" w:rsidDel="00000000" w:rsidP="00000000" w:rsidRDefault="00000000" w:rsidRPr="00000000" w14:paraId="00000038">
      <w:pPr>
        <w:numPr>
          <w:ilvl w:val="1"/>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ChromaDB: Base de datos vectorial que permite realizar búsquedas semánticas sobre documentos o fragmentos informativos cargados en el sistema.</w:t>
      </w:r>
    </w:p>
    <w:p w:rsidR="00000000" w:rsidDel="00000000" w:rsidP="00000000" w:rsidRDefault="00000000" w:rsidRPr="00000000" w14:paraId="00000039">
      <w:pPr>
        <w:numPr>
          <w:ilvl w:val="1"/>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Manager: Interfaz de comunicación entre frontend y backend.</w:t>
      </w:r>
    </w:p>
    <w:p w:rsidR="00000000" w:rsidDel="00000000" w:rsidP="00000000" w:rsidRDefault="00000000" w:rsidRPr="00000000" w14:paraId="0000003A">
      <w:pPr>
        <w:numPr>
          <w:ilvl w:val="1"/>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API: Para interactuar con el asistente virtual.</w:t>
      </w:r>
    </w:p>
    <w:p w:rsidR="00000000" w:rsidDel="00000000" w:rsidP="00000000" w:rsidRDefault="00000000" w:rsidRPr="00000000" w14:paraId="0000003B">
      <w:pPr>
        <w:numPr>
          <w:ilvl w:val="1"/>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API: Para acceder al Data Warehouse y devolver resultados agregados o consultas específicas.</w:t>
      </w:r>
    </w:p>
    <w:p w:rsidR="00000000" w:rsidDel="00000000" w:rsidP="00000000" w:rsidRDefault="00000000" w:rsidRPr="00000000" w14:paraId="0000003C">
      <w:pPr>
        <w:numPr>
          <w:ilvl w:val="1"/>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Warehouse: Base de datos estructurada que almacena toda la información histórica transformada. Alimentado por procesos ETL y preparado para el análisis con herramientas BI.</w:t>
      </w:r>
    </w:p>
    <w:p w:rsidR="00000000" w:rsidDel="00000000" w:rsidP="00000000" w:rsidRDefault="00000000" w:rsidRPr="00000000" w14:paraId="0000003D">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Física </w:t>
      </w:r>
    </w:p>
    <w:p w:rsidR="00000000" w:rsidDel="00000000" w:rsidP="00000000" w:rsidRDefault="00000000" w:rsidRPr="00000000" w14:paraId="0000003E">
      <w:pPr>
        <w:spacing w:line="480"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física del sistema representa la distribución real de los componentes tecnológicos sobre los cuales se ejecuta la solución. Esta configuración permite visualizar cómo interactúan entre sí los distintos elementos de software, asegurando un flujo adecuado de datos y procesos desde el usuario hasta el motor analítico.</w:t>
      </w:r>
    </w:p>
    <w:p w:rsidR="00000000" w:rsidDel="00000000" w:rsidP="00000000" w:rsidRDefault="00000000" w:rsidRPr="00000000" w14:paraId="0000003F">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480"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Figura 2 muestra el Diagrama de Arquitectura Física del Sistema, que se encuentra dividido en tres bloques principales: el usuario final, el frontend y el backend.</w:t>
      </w:r>
    </w:p>
    <w:p w:rsidR="00000000" w:rsidDel="00000000" w:rsidP="00000000" w:rsidRDefault="00000000" w:rsidRPr="00000000" w14:paraId="00000041">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48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2. </w:t>
      </w:r>
    </w:p>
    <w:p w:rsidR="00000000" w:rsidDel="00000000" w:rsidP="00000000" w:rsidRDefault="00000000" w:rsidRPr="00000000" w14:paraId="00000047">
      <w:pPr>
        <w:spacing w:line="480" w:lineRule="auto"/>
        <w:ind w:left="3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Diagrama de Arquitectura Física del Sistema.</w:t>
      </w:r>
    </w:p>
    <w:p w:rsidR="00000000" w:rsidDel="00000000" w:rsidP="00000000" w:rsidRDefault="00000000" w:rsidRPr="00000000" w14:paraId="0000004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077211" cy="3008654"/>
            <wp:effectExtent b="0" l="0" r="0" t="0"/>
            <wp:docPr descr="Interfaz de usuario gráfica, Diagrama, Aplicación&#10;&#10;El contenido generado por IA puede ser incorrecto." id="1553243523" name="image1.png"/>
            <a:graphic>
              <a:graphicData uri="http://schemas.openxmlformats.org/drawingml/2006/picture">
                <pic:pic>
                  <pic:nvPicPr>
                    <pic:cNvPr descr="Interfaz de usuario gráfica, Diagrama, Aplicación&#10;&#10;El contenido generado por IA puede ser incorrecto." id="0" name="image1.png"/>
                    <pic:cNvPicPr preferRelativeResize="0"/>
                  </pic:nvPicPr>
                  <pic:blipFill>
                    <a:blip r:embed="rId8"/>
                    <a:srcRect b="0" l="0" r="0" t="0"/>
                    <a:stretch>
                      <a:fillRect/>
                    </a:stretch>
                  </pic:blipFill>
                  <pic:spPr>
                    <a:xfrm>
                      <a:off x="0" y="0"/>
                      <a:ext cx="6077211" cy="300865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4A">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Lógica</w:t>
      </w:r>
    </w:p>
    <w:p w:rsidR="00000000" w:rsidDel="00000000" w:rsidP="00000000" w:rsidRDefault="00000000" w:rsidRPr="00000000" w14:paraId="0000004B">
      <w:pPr>
        <w:spacing w:line="480"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lógica del sistema define la organización estructural de los componentes funcionales que forman parte de la solución tecnológica. A diferencia de la arquitectura física, esta vista se centra en la distribución de responsabilidades y el flujo lógico de la información entre capas funcionales, asegurando una separación clara de roles y facilitando el mantenimiento y escalabilidad del sistema.</w:t>
      </w:r>
    </w:p>
    <w:p w:rsidR="00000000" w:rsidDel="00000000" w:rsidP="00000000" w:rsidRDefault="00000000" w:rsidRPr="00000000" w14:paraId="0000004C">
      <w:pPr>
        <w:spacing w:line="480"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Figura 3 presenta el Diagrama de Arquitectura Lógica, estructurado en cuatro capas principales.</w:t>
      </w:r>
    </w:p>
    <w:p w:rsidR="00000000" w:rsidDel="00000000" w:rsidP="00000000" w:rsidRDefault="00000000" w:rsidRPr="00000000" w14:paraId="0000004D">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48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3. </w:t>
      </w:r>
    </w:p>
    <w:p w:rsidR="00000000" w:rsidDel="00000000" w:rsidP="00000000" w:rsidRDefault="00000000" w:rsidRPr="00000000" w14:paraId="00000053">
      <w:pPr>
        <w:spacing w:line="48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Arquitectura Lógica del Sistema.</w:t>
      </w:r>
    </w:p>
    <w:p w:rsidR="00000000" w:rsidDel="00000000" w:rsidP="00000000" w:rsidRDefault="00000000" w:rsidRPr="00000000" w14:paraId="00000054">
      <w:pPr>
        <w:spacing w:line="48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0" distT="0" distL="0" distR="0">
            <wp:extent cx="6027809" cy="3878787"/>
            <wp:effectExtent b="0" l="0" r="0" t="0"/>
            <wp:docPr descr="Diagrama&#10;&#10;El contenido generado por IA puede ser incorrecto." id="1553243522" name="image3.png"/>
            <a:graphic>
              <a:graphicData uri="http://schemas.openxmlformats.org/drawingml/2006/picture">
                <pic:pic>
                  <pic:nvPicPr>
                    <pic:cNvPr descr="Diagrama&#10;&#10;El contenido generado por IA puede ser incorrecto." id="0" name="image3.png"/>
                    <pic:cNvPicPr preferRelativeResize="0"/>
                  </pic:nvPicPr>
                  <pic:blipFill>
                    <a:blip r:embed="rId9"/>
                    <a:srcRect b="0" l="0" r="0" t="0"/>
                    <a:stretch>
                      <a:fillRect/>
                    </a:stretch>
                  </pic:blipFill>
                  <pic:spPr>
                    <a:xfrm>
                      <a:off x="0" y="0"/>
                      <a:ext cx="6027809" cy="387878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56">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de Datos </w:t>
      </w:r>
    </w:p>
    <w:p w:rsidR="00000000" w:rsidDel="00000000" w:rsidP="00000000" w:rsidRDefault="00000000" w:rsidRPr="00000000" w14:paraId="00000057">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Este módulo, se enfoca en detallar y enlistar las distintas fuentes de datos el cual hace uso el aporte.</w:t>
      </w:r>
      <w:r w:rsidDel="00000000" w:rsidR="00000000" w:rsidRPr="00000000">
        <w:rPr>
          <w:rtl w:val="0"/>
        </w:rPr>
      </w:r>
    </w:p>
    <w:p w:rsidR="00000000" w:rsidDel="00000000" w:rsidP="00000000" w:rsidRDefault="00000000" w:rsidRPr="00000000" w14:paraId="00000058">
      <w:pPr>
        <w:pStyle w:val="Heading2"/>
        <w:numPr>
          <w:ilvl w:val="1"/>
          <w:numId w:val="6"/>
        </w:numPr>
        <w:spacing w:after="240" w:before="0"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Sistemas fuente</w:t>
      </w:r>
    </w:p>
    <w:p w:rsidR="00000000" w:rsidDel="00000000" w:rsidP="00000000" w:rsidRDefault="00000000" w:rsidRPr="00000000" w14:paraId="00000059">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distintos sistemas fuente.</w:t>
      </w:r>
    </w:p>
    <w:p w:rsidR="00000000" w:rsidDel="00000000" w:rsidP="00000000" w:rsidRDefault="00000000" w:rsidRPr="00000000" w14:paraId="0000005A">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w:t>
      </w:r>
    </w:p>
    <w:p w:rsidR="00000000" w:rsidDel="00000000" w:rsidP="00000000" w:rsidRDefault="00000000" w:rsidRPr="00000000" w14:paraId="0000005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Categorización de sistemas fuente.</w:t>
      </w:r>
    </w:p>
    <w:sdt>
      <w:sdtPr>
        <w:lock w:val="contentLocked"/>
        <w:tag w:val="goog_rdk_0"/>
      </w:sdtPr>
      <w:sdtContent>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40"/>
            <w:gridCol w:w="2745"/>
            <w:gridCol w:w="3330"/>
            <w:tblGridChange w:id="0">
              <w:tblGrid>
                <w:gridCol w:w="1425"/>
                <w:gridCol w:w="1440"/>
                <w:gridCol w:w="2745"/>
                <w:gridCol w:w="33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extracción</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Sistema</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Archivo</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Nacional de Datos Abiertos</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 Presupuestal de las Entidades de Tratamiento Empresarial - ETES</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2015 al 2023 del Gasto de las Entidades de Tratamiento Empresarial - ETES.</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Encuesta Nacional de Programas Presupuestales (ENAPRES) - [Instituto Nacional de Estadística e Informática - INEI]</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 la cobertura de servicios básicos de los diferentes Programas Presupuestales entre los años 2010 - 2023.</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Registro de Información de Área Técnica Municipal sobre los prestadores del ámbito rural - [Superintendencia Nacional de Servicios de Saneamiento - SUNASS]</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el registro de información de las Organizaciones Comunales, la forma de organización de la prestación del servicio, la facturación e ingresos por los servicios brindados por el prestador entre los años 2019  - 2023.</w:t>
                </w:r>
              </w:p>
            </w:tc>
          </w:tr>
          <w:tr>
            <w:trPr>
              <w:cantSplit w:val="0"/>
              <w:trHeight w:val="440" w:hRule="atLeast"/>
              <w:tblHeader w:val="0"/>
            </w:trPr>
            <w:tc>
              <w:tcPr>
                <w:vAlign w:val="center"/>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UBIGEO</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conjunto de datos permite identificar la ubicación de un lugar en Perú.</w:t>
                </w:r>
              </w:p>
            </w:tc>
          </w:tr>
        </w:tbl>
      </w:sdtContent>
    </w:sdt>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75">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 ETL </w:t>
      </w:r>
    </w:p>
    <w:p w:rsidR="00000000" w:rsidDel="00000000" w:rsidP="00000000" w:rsidRDefault="00000000" w:rsidRPr="00000000" w14:paraId="00000076">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Este módulo se basa en la implementación de un flujo de trabajo que permite la extracción, transformación y carga de datos provenientes de distintas fuentes hacia el Data Warehouse.</w:t>
      </w:r>
      <w:r w:rsidDel="00000000" w:rsidR="00000000" w:rsidRPr="00000000">
        <w:rPr>
          <w:rtl w:val="0"/>
        </w:rPr>
      </w:r>
    </w:p>
    <w:p w:rsidR="00000000" w:rsidDel="00000000" w:rsidP="00000000" w:rsidRDefault="00000000" w:rsidRPr="00000000" w14:paraId="00000077">
      <w:pPr>
        <w:pStyle w:val="Heading2"/>
        <w:numPr>
          <w:ilvl w:val="1"/>
          <w:numId w:val="6"/>
        </w:numPr>
        <w:spacing w:after="24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Herramientas utilizadas</w:t>
      </w:r>
    </w:p>
    <w:p w:rsidR="00000000" w:rsidDel="00000000" w:rsidP="00000000" w:rsidRDefault="00000000" w:rsidRPr="00000000" w14:paraId="00000078">
      <w:pPr>
        <w:spacing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proceso ETL se desarrollará utilizando las siguientes herramientas:</w:t>
      </w:r>
      <w:r w:rsidDel="00000000" w:rsidR="00000000" w:rsidRPr="00000000">
        <w:rPr>
          <w:rtl w:val="0"/>
        </w:rPr>
      </w:r>
    </w:p>
    <w:p w:rsidR="00000000" w:rsidDel="00000000" w:rsidP="00000000" w:rsidRDefault="00000000" w:rsidRPr="00000000" w14:paraId="00000079">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Server Management Studio (SSMS): </w:t>
      </w:r>
      <w:r w:rsidDel="00000000" w:rsidR="00000000" w:rsidRPr="00000000">
        <w:rPr>
          <w:rFonts w:ascii="Times New Roman" w:cs="Times New Roman" w:eastAsia="Times New Roman" w:hAnsi="Times New Roman"/>
          <w:sz w:val="24"/>
          <w:szCs w:val="24"/>
          <w:rtl w:val="0"/>
        </w:rPr>
        <w:t xml:space="preserve">Utilizado para la administración de la base de datos, ejecución de consultas, monitoreo de procesos y validación de la carga de datos.</w:t>
      </w:r>
    </w:p>
    <w:p w:rsidR="00000000" w:rsidDel="00000000" w:rsidP="00000000" w:rsidRDefault="00000000" w:rsidRPr="00000000" w14:paraId="0000007A">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Microsoft Visual Studio (con Integration Services - SSIS):</w:t>
      </w:r>
      <w:r w:rsidDel="00000000" w:rsidR="00000000" w:rsidRPr="00000000">
        <w:rPr>
          <w:rFonts w:ascii="Times New Roman" w:cs="Times New Roman" w:eastAsia="Times New Roman" w:hAnsi="Times New Roman"/>
          <w:sz w:val="24"/>
          <w:szCs w:val="24"/>
          <w:rtl w:val="0"/>
        </w:rPr>
        <w:t xml:space="preserve"> Plataforma principal para el desarrollo de paquetes ETL y conexión a múltiples fuentes de datos.</w:t>
      </w:r>
    </w:p>
    <w:p w:rsidR="00000000" w:rsidDel="00000000" w:rsidP="00000000" w:rsidRDefault="00000000" w:rsidRPr="00000000" w14:paraId="0000007B">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Usado para el tratamiento y unificación de los datos con el fin de obtener un conjunto de datos más estructurado. </w:t>
      </w:r>
    </w:p>
    <w:p w:rsidR="00000000" w:rsidDel="00000000" w:rsidP="00000000" w:rsidRDefault="00000000" w:rsidRPr="00000000" w14:paraId="0000007C">
      <w:pPr>
        <w:pStyle w:val="Heading2"/>
        <w:numPr>
          <w:ilvl w:val="1"/>
          <w:numId w:val="6"/>
        </w:numPr>
        <w:spacing w:after="240" w:before="0" w:line="480" w:lineRule="auto"/>
        <w:ind w:left="1440" w:hanging="360"/>
        <w:rPr>
          <w:rFonts w:ascii="Times New Roman" w:cs="Times New Roman" w:eastAsia="Times New Roman" w:hAnsi="Times New Roman"/>
          <w:b w:val="1"/>
          <w:sz w:val="24"/>
          <w:szCs w:val="24"/>
        </w:rPr>
      </w:pPr>
      <w:bookmarkStart w:colFirst="0" w:colLast="0" w:name="_heading=h.f414qfii7y3k" w:id="0"/>
      <w:bookmarkEnd w:id="0"/>
      <w:r w:rsidDel="00000000" w:rsidR="00000000" w:rsidRPr="00000000">
        <w:rPr>
          <w:rFonts w:ascii="Times New Roman" w:cs="Times New Roman" w:eastAsia="Times New Roman" w:hAnsi="Times New Roman"/>
          <w:b w:val="1"/>
          <w:sz w:val="24"/>
          <w:szCs w:val="24"/>
          <w:rtl w:val="0"/>
        </w:rPr>
        <w:t xml:space="preserve">Flujo de trabajo del ETL</w:t>
      </w:r>
    </w:p>
    <w:p w:rsidR="00000000" w:rsidDel="00000000" w:rsidP="00000000" w:rsidRDefault="00000000" w:rsidRPr="00000000" w14:paraId="0000007D">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Extracción</w:t>
      </w:r>
      <w:r w:rsidDel="00000000" w:rsidR="00000000" w:rsidRPr="00000000">
        <w:rPr>
          <w:rtl w:val="0"/>
        </w:rPr>
      </w:r>
    </w:p>
    <w:p w:rsidR="00000000" w:rsidDel="00000000" w:rsidP="00000000" w:rsidRDefault="00000000" w:rsidRPr="00000000" w14:paraId="0000007E">
      <w:pPr>
        <w:numPr>
          <w:ilvl w:val="1"/>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Lectura de archivos fijos (CSV, Excel).</w:t>
      </w:r>
    </w:p>
    <w:p w:rsidR="00000000" w:rsidDel="00000000" w:rsidP="00000000" w:rsidRDefault="00000000" w:rsidRPr="00000000" w14:paraId="0000007F">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Transformación</w:t>
      </w:r>
      <w:r w:rsidDel="00000000" w:rsidR="00000000" w:rsidRPr="00000000">
        <w:rPr>
          <w:rtl w:val="0"/>
        </w:rPr>
      </w:r>
    </w:p>
    <w:p w:rsidR="00000000" w:rsidDel="00000000" w:rsidP="00000000" w:rsidRDefault="00000000" w:rsidRPr="00000000" w14:paraId="00000080">
      <w:pPr>
        <w:numPr>
          <w:ilvl w:val="1"/>
          <w:numId w:val="5"/>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Limpieza de datos (eliminación de nulos, normalización).</w:t>
      </w:r>
    </w:p>
    <w:p w:rsidR="00000000" w:rsidDel="00000000" w:rsidP="00000000" w:rsidRDefault="00000000" w:rsidRPr="00000000" w14:paraId="00000081">
      <w:pPr>
        <w:numPr>
          <w:ilvl w:val="1"/>
          <w:numId w:val="5"/>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Conversión de tipos de datos, mapeo de campos, creación de columnas calculadas.</w:t>
      </w:r>
    </w:p>
    <w:p w:rsidR="00000000" w:rsidDel="00000000" w:rsidP="00000000" w:rsidRDefault="00000000" w:rsidRPr="00000000" w14:paraId="00000082">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Carga</w:t>
      </w:r>
      <w:r w:rsidDel="00000000" w:rsidR="00000000" w:rsidRPr="00000000">
        <w:rPr>
          <w:rtl w:val="0"/>
        </w:rPr>
      </w:r>
    </w:p>
    <w:p w:rsidR="00000000" w:rsidDel="00000000" w:rsidP="00000000" w:rsidRDefault="00000000" w:rsidRPr="00000000" w14:paraId="00000083">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Inserción de los datos transformados en tablas del Data Warehouse alojado en SQL Server.</w:t>
      </w:r>
    </w:p>
    <w:p w:rsidR="00000000" w:rsidDel="00000000" w:rsidP="00000000" w:rsidRDefault="00000000" w:rsidRPr="00000000" w14:paraId="00000084">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controlada mediante paquetes SSIS.</w:t>
      </w:r>
    </w:p>
    <w:p w:rsidR="00000000" w:rsidDel="00000000" w:rsidP="00000000" w:rsidRDefault="00000000" w:rsidRPr="00000000" w14:paraId="00000085">
      <w:pPr>
        <w:pStyle w:val="Heading1"/>
        <w:numPr>
          <w:ilvl w:val="0"/>
          <w:numId w:val="6"/>
        </w:numPr>
        <w:spacing w:after="240" w:before="6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 de Datos</w:t>
      </w:r>
    </w:p>
    <w:p w:rsidR="00000000" w:rsidDel="00000000" w:rsidP="00000000" w:rsidRDefault="00000000" w:rsidRPr="00000000" w14:paraId="0000008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Esta capa representa el núcleo central donde se almacena la información ya procesada, organizada y lista para su análisis.</w:t>
      </w:r>
      <w:r w:rsidDel="00000000" w:rsidR="00000000" w:rsidRPr="00000000">
        <w:rPr>
          <w:rtl w:val="0"/>
        </w:rPr>
      </w:r>
    </w:p>
    <w:p w:rsidR="00000000" w:rsidDel="00000000" w:rsidP="00000000" w:rsidRDefault="00000000" w:rsidRPr="00000000" w14:paraId="00000087">
      <w:pPr>
        <w:pStyle w:val="Heading2"/>
        <w:numPr>
          <w:ilvl w:val="1"/>
          <w:numId w:val="6"/>
        </w:numPr>
        <w:spacing w:after="240" w:before="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Warehouse</w:t>
      </w:r>
    </w:p>
    <w:p w:rsidR="00000000" w:rsidDel="00000000" w:rsidP="00000000" w:rsidRDefault="00000000" w:rsidRPr="00000000" w14:paraId="00000088">
      <w:pPr>
        <w:spacing w:line="480" w:lineRule="auto"/>
        <w:ind w:left="720" w:firstLine="720"/>
        <w:rPr>
          <w:rFonts w:ascii="Times New Roman" w:cs="Times New Roman" w:eastAsia="Times New Roman" w:hAnsi="Times New Roman"/>
          <w:sz w:val="24"/>
          <w:szCs w:val="24"/>
        </w:rPr>
      </w:pPr>
      <w:bookmarkStart w:colFirst="0" w:colLast="0" w:name="_heading=h.v2ybnmz1jfwh" w:id="1"/>
      <w:bookmarkEnd w:id="1"/>
      <w:r w:rsidDel="00000000" w:rsidR="00000000" w:rsidRPr="00000000">
        <w:rPr>
          <w:rFonts w:ascii="Times New Roman" w:cs="Times New Roman" w:eastAsia="Times New Roman" w:hAnsi="Times New Roman"/>
          <w:sz w:val="24"/>
          <w:szCs w:val="24"/>
          <w:rtl w:val="0"/>
        </w:rPr>
        <w:t xml:space="preserve">Se implementará utilizando SQL Server, aprovechando sus capacidades de almacenamiento relacional, consultas eficientes y compatibilidad con herramientas analíticas de Microsoft. Este almacén de datos contendrá información histórica consolidada, normalizada y optimizada para consultas analíticas.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967E8C"/>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character" w:styleId="Ttulo2Car" w:customStyle="1">
    <w:name w:val="Título 2 Car"/>
    <w:basedOn w:val="Fuentedeprrafopredeter"/>
    <w:link w:val="Ttulo2"/>
    <w:uiPriority w:val="9"/>
    <w:rsid w:val="000215C0"/>
    <w:rPr>
      <w:sz w:val="32"/>
      <w:szCs w:val="32"/>
    </w:rPr>
  </w:style>
  <w:style w:type="character" w:styleId="Ttulo1Car" w:customStyle="1">
    <w:name w:val="Título 1 Car"/>
    <w:basedOn w:val="Fuentedeprrafopredeter"/>
    <w:link w:val="Ttulo1"/>
    <w:uiPriority w:val="9"/>
    <w:rsid w:val="000215C0"/>
    <w:rPr>
      <w:sz w:val="40"/>
      <w:szCs w:val="40"/>
    </w:rPr>
  </w:style>
  <w:style w:type="paragraph" w:styleId="Prrafodelista">
    <w:name w:val="List Paragraph"/>
    <w:basedOn w:val="Normal"/>
    <w:uiPriority w:val="34"/>
    <w:qFormat w:val="1"/>
    <w:rsid w:val="000215C0"/>
    <w:pPr>
      <w:ind w:left="720"/>
      <w:contextualSpacing w:val="1"/>
    </w:p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EoexB9JjHc3XS/GNbxM0SH04eQ==">CgMxLjAaHwoBMBIaChgICVIUChJ0YWJsZS5oOGRuZDFmcXZpY3EyDmguZjQxNHFmaWk3eTNrMg5oLnYyeWJubXoxamZ3aDgAciExRFVFb1FYYm9lZVZ0d1czaFFBdnRTUkhIZVJfNzZ4ajE=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2025-04-05T03:10:00Z</dcterms:created>
</cp:coreProperties>
</file>