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Arquitectura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Visión General de la Arquitectura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Diagrama general de arquitectura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Descripción de componentes principales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Fuente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Sistemas fuente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Procesos ETL</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Herramientas utilizadas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414qfii7y3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Flujo de trabajo del ETL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Almacenamiento de Datos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Data Warehouse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v2ybnmz1jfw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Cubo Tabular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240" w:before="6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arquitectura técnica de la tesis titulada Solución tecnológica para la optimización en la gestión de recursos hídricos en el Perú aplicando business intelligence, cuyo propósito es transformar datos dispersos en información estructurada, accesible y útil para la toma de decisiones y modelos predictivos. Este diseño técnico establece los componentes clave, herramientas y flujos de trabajo necesarios para garantizar una solución robusta.</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se centra en integrar múltiples fuentes de datos, procesar y transformar esa información mediante procesos automatizados, almacenarla eficientemente, y finalmente presentarla a través de herramientas de análisis visual.</w:t>
      </w:r>
    </w:p>
    <w:p w:rsidR="00000000" w:rsidDel="00000000" w:rsidP="00000000" w:rsidRDefault="00000000" w:rsidRPr="00000000" w14:paraId="0000001E">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que sustentará la solución de Business Intelligence, detallando los componentes tecnológicos, herramientas, procesos y buenas prácticas necesarios para capturar, transformar, almacenar, analizar y realizar modelos predictivos a partir de los datos, asegurando su calidad y disponibilidad.</w:t>
      </w:r>
    </w:p>
    <w:p w:rsidR="00000000" w:rsidDel="00000000" w:rsidP="00000000" w:rsidRDefault="00000000" w:rsidRPr="00000000" w14:paraId="00000020">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 de la Arquitectura</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este primer módulo, se observará en detalle el flujo de trabajo del aporte.</w:t>
      </w:r>
      <w:r w:rsidDel="00000000" w:rsidR="00000000" w:rsidRPr="00000000">
        <w:rPr>
          <w:rtl w:val="0"/>
        </w:rPr>
      </w:r>
    </w:p>
    <w:p w:rsidR="00000000" w:rsidDel="00000000" w:rsidP="00000000" w:rsidRDefault="00000000" w:rsidRPr="00000000" w14:paraId="00000022">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general de arquitectura</w:t>
      </w:r>
    </w:p>
    <w:p w:rsidR="00000000" w:rsidDel="00000000" w:rsidP="00000000" w:rsidRDefault="00000000" w:rsidRPr="00000000" w14:paraId="0000002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1 presenta el diagrama general de la arquitectura técnica propuesta. Este esquema ilustra el flujo completo de los datos, desde su origen, luego procesados a través de un flujo ETL que permite su limpieza, transformación y carga en un Data Warehouse centralizado. Finalmente, la información estructurada es modelada mediante un cubo tabular, que facilitará posteriores análisis multidimensionales.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la arquitectura del aporte.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8">
      <w:pPr>
        <w:pStyle w:val="Heading2"/>
        <w:numPr>
          <w:ilvl w:val="1"/>
          <w:numId w:val="7"/>
        </w:numPr>
        <w:spacing w:after="240" w:before="60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 principales</w:t>
      </w:r>
    </w:p>
    <w:p w:rsidR="00000000" w:rsidDel="00000000" w:rsidP="00000000" w:rsidRDefault="00000000" w:rsidRPr="00000000" w14:paraId="0000002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componentes principales que conforman la arquitectura técnica de la propuesta.</w:t>
      </w:r>
    </w:p>
    <w:p w:rsidR="00000000" w:rsidDel="00000000" w:rsidP="00000000" w:rsidRDefault="00000000" w:rsidRPr="00000000" w14:paraId="0000002A">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Fuentes de Datos: </w:t>
      </w:r>
      <w:r w:rsidDel="00000000" w:rsidR="00000000" w:rsidRPr="00000000">
        <w:rPr>
          <w:rFonts w:ascii="Times New Roman" w:cs="Times New Roman" w:eastAsia="Times New Roman" w:hAnsi="Times New Roman"/>
          <w:sz w:val="24"/>
          <w:szCs w:val="24"/>
          <w:rtl w:val="0"/>
        </w:rPr>
        <w:t xml:space="preserve">Incluyen orígenes de datos heterogéneos, los cuales serán representados como archivos fijos estructurados (CSV, Excel, etc.) proporcionados de organizaciones gubernamentales peruanas.</w:t>
      </w:r>
    </w:p>
    <w:p w:rsidR="00000000" w:rsidDel="00000000" w:rsidP="00000000" w:rsidRDefault="00000000" w:rsidRPr="00000000" w14:paraId="0000002B">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Empezando con el proceso de ETL, encargado de extracción, transformación y carga de los datos. Asimismo, el data warehouse representa el repositorio centralizado de datos estructurados. Su diseño se basa en un modelo dimensional que facilita la navegación y análisis de los datos.</w:t>
      </w:r>
    </w:p>
    <w:p w:rsidR="00000000" w:rsidDel="00000000" w:rsidP="00000000" w:rsidRDefault="00000000" w:rsidRPr="00000000" w14:paraId="0000002C">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Cubo Tabular:</w:t>
      </w:r>
      <w:r w:rsidDel="00000000" w:rsidR="00000000" w:rsidRPr="00000000">
        <w:rPr>
          <w:rFonts w:ascii="Times New Roman" w:cs="Times New Roman" w:eastAsia="Times New Roman" w:hAnsi="Times New Roman"/>
          <w:sz w:val="24"/>
          <w:szCs w:val="24"/>
          <w:rtl w:val="0"/>
        </w:rPr>
        <w:t xml:space="preserve"> La información almacenada en el Data Warehouse es modelada en un cubo tabular, lo que permite la agregación eficiente de datos y su análisis desde múltiples dimensiones. </w:t>
      </w:r>
      <w:r w:rsidDel="00000000" w:rsidR="00000000" w:rsidRPr="00000000">
        <w:rPr>
          <w:rtl w:val="0"/>
        </w:rPr>
      </w:r>
    </w:p>
    <w:p w:rsidR="00000000" w:rsidDel="00000000" w:rsidP="00000000" w:rsidRDefault="00000000" w:rsidRPr="00000000" w14:paraId="0000002D">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de Datos </w:t>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enfoca en detallar y enlistar las distintas fuentes de datos el cual hace uso el aporte.</w:t>
      </w:r>
      <w:r w:rsidDel="00000000" w:rsidR="00000000" w:rsidRPr="00000000">
        <w:rPr>
          <w:rtl w:val="0"/>
        </w:rPr>
      </w:r>
    </w:p>
    <w:p w:rsidR="00000000" w:rsidDel="00000000" w:rsidP="00000000" w:rsidRDefault="00000000" w:rsidRPr="00000000" w14:paraId="0000002F">
      <w:pPr>
        <w:pStyle w:val="Heading2"/>
        <w:numPr>
          <w:ilvl w:val="1"/>
          <w:numId w:val="7"/>
        </w:numPr>
        <w:spacing w:after="240" w:before="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fuente</w:t>
      </w:r>
    </w:p>
    <w:p w:rsidR="00000000" w:rsidDel="00000000" w:rsidP="00000000" w:rsidRDefault="00000000" w:rsidRPr="00000000" w14:paraId="0000003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distintos sistemas fuente,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3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Categorización de sistemas fuente.</w:t>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2745"/>
            <w:gridCol w:w="3330"/>
            <w:tblGridChange w:id="0">
              <w:tblGrid>
                <w:gridCol w:w="1425"/>
                <w:gridCol w:w="1440"/>
                <w:gridCol w:w="274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extracción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Nacional de Datos Abiertos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Presupuestal de las Entidades de Tratamiento Empresarial - 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2015 al 2023 del Gasto de las Entidades de Tratamiento Empresarial - ETES.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Nacional de Programas Presupuestales (ENAPRES) - [Instituto Nacional de Estadística e Informática - INEI]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la cobertura de servicios básicos de los diferentes Programas Presupuestales entre los años 2010 - 2023.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de Información de Área Técnica Municipal sobre los prestadores del ámbito rural - [Superintendencia Nacional de Servicios de Saneamiento - SUNASS]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el registro de información de las Organizaciones Comunales, la forma de organización de la prestación del servicio, la facturación e ingresos por los servicios brindados por el prestador entre los años 2019  - 2023.</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 Nacional del Agua (ANA)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y Calidad del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metadata sirve para verificar la distribución del agua por departamento y su categorización a nivel de calidad ICARHS entre los años 2015 - 2024.</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UBIGEO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permite identificar la ubicación de un lugar en Perú.</w:t>
                </w:r>
              </w:p>
            </w:tc>
          </w:tr>
        </w:tbl>
      </w:sdtContent>
    </w:sdt>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C">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ETL </w:t>
      </w:r>
    </w:p>
    <w:p w:rsidR="00000000" w:rsidDel="00000000" w:rsidP="00000000" w:rsidRDefault="00000000" w:rsidRPr="00000000" w14:paraId="0000004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basa en la implementación de un flujo de trabajo que permite la extracción, transformación y carga de datos provenientes de distintas fuentes hacia el Data Warehouse.</w:t>
      </w:r>
      <w:r w:rsidDel="00000000" w:rsidR="00000000" w:rsidRPr="00000000">
        <w:rPr>
          <w:rtl w:val="0"/>
        </w:rPr>
      </w:r>
    </w:p>
    <w:p w:rsidR="00000000" w:rsidDel="00000000" w:rsidP="00000000" w:rsidRDefault="00000000" w:rsidRPr="00000000" w14:paraId="0000004E">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utilizadas</w:t>
      </w:r>
    </w:p>
    <w:p w:rsidR="00000000" w:rsidDel="00000000" w:rsidP="00000000" w:rsidRDefault="00000000" w:rsidRPr="00000000" w14:paraId="0000004F">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proceso ETL se desarrollará utilizando las siguientes herramientas:</w:t>
      </w:r>
      <w:r w:rsidDel="00000000" w:rsidR="00000000" w:rsidRPr="00000000">
        <w:rPr>
          <w:rtl w:val="0"/>
        </w:rPr>
      </w:r>
    </w:p>
    <w:p w:rsidR="00000000" w:rsidDel="00000000" w:rsidP="00000000" w:rsidRDefault="00000000" w:rsidRPr="00000000" w14:paraId="00000050">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Server Management Studio (SSMS): </w:t>
      </w:r>
      <w:r w:rsidDel="00000000" w:rsidR="00000000" w:rsidRPr="00000000">
        <w:rPr>
          <w:rFonts w:ascii="Times New Roman" w:cs="Times New Roman" w:eastAsia="Times New Roman" w:hAnsi="Times New Roman"/>
          <w:sz w:val="24"/>
          <w:szCs w:val="24"/>
          <w:rtl w:val="0"/>
        </w:rPr>
        <w:t xml:space="preserve">Utilizado para la administración de la base de datos, ejecución de consultas, monitoreo de procesos y validación de la carga de datos.</w:t>
      </w:r>
    </w:p>
    <w:p w:rsidR="00000000" w:rsidDel="00000000" w:rsidP="00000000" w:rsidRDefault="00000000" w:rsidRPr="00000000" w14:paraId="00000051">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Microsoft Visual Studio (con Integration Services - SSIS):</w:t>
      </w:r>
      <w:r w:rsidDel="00000000" w:rsidR="00000000" w:rsidRPr="00000000">
        <w:rPr>
          <w:rFonts w:ascii="Times New Roman" w:cs="Times New Roman" w:eastAsia="Times New Roman" w:hAnsi="Times New Roman"/>
          <w:sz w:val="24"/>
          <w:szCs w:val="24"/>
          <w:rtl w:val="0"/>
        </w:rPr>
        <w:t xml:space="preserve"> Plataforma principal para el desarrollo de paquetes ETL y conexión a múltiples fuentes de datos.</w:t>
      </w:r>
    </w:p>
    <w:p w:rsidR="00000000" w:rsidDel="00000000" w:rsidP="00000000" w:rsidRDefault="00000000" w:rsidRPr="00000000" w14:paraId="00000052">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Usado para el tratamiento y unificación de los datos con el fin de obtener un conjunto de datos más estructurado. </w:t>
      </w:r>
    </w:p>
    <w:p w:rsidR="00000000" w:rsidDel="00000000" w:rsidP="00000000" w:rsidRDefault="00000000" w:rsidRPr="00000000" w14:paraId="00000053">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f414qfii7y3k" w:id="0"/>
      <w:bookmarkEnd w:id="0"/>
      <w:r w:rsidDel="00000000" w:rsidR="00000000" w:rsidRPr="00000000">
        <w:rPr>
          <w:rFonts w:ascii="Times New Roman" w:cs="Times New Roman" w:eastAsia="Times New Roman" w:hAnsi="Times New Roman"/>
          <w:b w:val="1"/>
          <w:sz w:val="24"/>
          <w:szCs w:val="24"/>
          <w:rtl w:val="0"/>
        </w:rPr>
        <w:t xml:space="preserve">Flujo de trabajo del ETL</w:t>
      </w:r>
    </w:p>
    <w:p w:rsidR="00000000" w:rsidDel="00000000" w:rsidP="00000000" w:rsidRDefault="00000000" w:rsidRPr="00000000" w14:paraId="0000005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Extracción</w:t>
      </w:r>
    </w:p>
    <w:p w:rsidR="00000000" w:rsidDel="00000000" w:rsidP="00000000" w:rsidRDefault="00000000" w:rsidRPr="00000000" w14:paraId="00000055">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 archivos fijos (CSV, Excel).</w:t>
      </w:r>
    </w:p>
    <w:p w:rsidR="00000000" w:rsidDel="00000000" w:rsidP="00000000" w:rsidRDefault="00000000" w:rsidRPr="00000000" w14:paraId="00000056">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Transformación</w:t>
      </w:r>
    </w:p>
    <w:p w:rsidR="00000000" w:rsidDel="00000000" w:rsidP="00000000" w:rsidRDefault="00000000" w:rsidRPr="00000000" w14:paraId="00000057">
      <w:pPr>
        <w:numPr>
          <w:ilvl w:val="1"/>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 de datos (eliminación de nulos, normalización).</w:t>
      </w:r>
    </w:p>
    <w:p w:rsidR="00000000" w:rsidDel="00000000" w:rsidP="00000000" w:rsidRDefault="00000000" w:rsidRPr="00000000" w14:paraId="00000058">
      <w:pPr>
        <w:numPr>
          <w:ilvl w:val="1"/>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tipos de datos, mapeo de campos, creación de columnas calculadas.</w:t>
      </w:r>
    </w:p>
    <w:p w:rsidR="00000000" w:rsidDel="00000000" w:rsidP="00000000" w:rsidRDefault="00000000" w:rsidRPr="00000000" w14:paraId="0000005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w:t>
      </w:r>
    </w:p>
    <w:p w:rsidR="00000000" w:rsidDel="00000000" w:rsidP="00000000" w:rsidRDefault="00000000" w:rsidRPr="00000000" w14:paraId="0000005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de los datos transformados en tablas del Data Warehouse alojado en SQL Server.</w:t>
      </w:r>
    </w:p>
    <w:p w:rsidR="00000000" w:rsidDel="00000000" w:rsidP="00000000" w:rsidRDefault="00000000" w:rsidRPr="00000000" w14:paraId="0000005B">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controlada mediante paquetes SSIS.</w:t>
      </w:r>
    </w:p>
    <w:p w:rsidR="00000000" w:rsidDel="00000000" w:rsidP="00000000" w:rsidRDefault="00000000" w:rsidRPr="00000000" w14:paraId="0000005C">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de Datos</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 capa representa el núcleo central donde se almacena la información ya procesada, organizada y lista para su análisis.</w:t>
      </w:r>
      <w:r w:rsidDel="00000000" w:rsidR="00000000" w:rsidRPr="00000000">
        <w:rPr>
          <w:rtl w:val="0"/>
        </w:rPr>
      </w:r>
    </w:p>
    <w:p w:rsidR="00000000" w:rsidDel="00000000" w:rsidP="00000000" w:rsidRDefault="00000000" w:rsidRPr="00000000" w14:paraId="0000005E">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w:t>
      </w:r>
    </w:p>
    <w:p w:rsidR="00000000" w:rsidDel="00000000" w:rsidP="00000000" w:rsidRDefault="00000000" w:rsidRPr="00000000" w14:paraId="0000005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utilizando SQL Server, aprovechando sus capacidades de almacenamiento relacional, consultas eficientes y compatibilidad con herramientas analíticas de Microsoft.Este almacén de datos contendrá información histórica consolidada, normalizada y optimizada para consultas analíticas.</w:t>
      </w:r>
    </w:p>
    <w:p w:rsidR="00000000" w:rsidDel="00000000" w:rsidP="00000000" w:rsidRDefault="00000000" w:rsidRPr="00000000" w14:paraId="00000060">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v2ybnmz1jfwh" w:id="1"/>
      <w:bookmarkEnd w:id="1"/>
      <w:r w:rsidDel="00000000" w:rsidR="00000000" w:rsidRPr="00000000">
        <w:rPr>
          <w:rFonts w:ascii="Times New Roman" w:cs="Times New Roman" w:eastAsia="Times New Roman" w:hAnsi="Times New Roman"/>
          <w:b w:val="1"/>
          <w:sz w:val="24"/>
          <w:szCs w:val="24"/>
          <w:rtl w:val="0"/>
        </w:rPr>
        <w:t xml:space="preserve">Cubo Tabular</w:t>
      </w:r>
    </w:p>
    <w:p w:rsidR="00000000" w:rsidDel="00000000" w:rsidP="00000000" w:rsidRDefault="00000000" w:rsidRPr="00000000" w14:paraId="0000006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el Data Warehouse, se construirá un cubo tabular, modelado mediante Analysis Services (SSAS Tabular) en SQL Server. Este cubo permitirá:</w:t>
      </w:r>
    </w:p>
    <w:p w:rsidR="00000000" w:rsidDel="00000000" w:rsidP="00000000" w:rsidRDefault="00000000" w:rsidRPr="00000000" w14:paraId="0000006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multidimensional eficiente, organizando los datos en medidas y dimensiones.</w:t>
      </w:r>
    </w:p>
    <w:p w:rsidR="00000000" w:rsidDel="00000000" w:rsidP="00000000" w:rsidRDefault="00000000" w:rsidRPr="00000000" w14:paraId="00000063">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 rendimiento en consultas, ya que los datos son precalculados y optimizados en memoria.</w:t>
      </w:r>
    </w:p>
    <w:p w:rsidR="00000000" w:rsidDel="00000000" w:rsidP="00000000" w:rsidRDefault="00000000" w:rsidRPr="00000000" w14:paraId="00000064">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en exploración de datos, facilitando la generación de reportes y dashboards en herramientas como Power BI y Excel.</w:t>
      </w:r>
    </w:p>
    <w:p w:rsidR="00000000" w:rsidDel="00000000" w:rsidP="00000000" w:rsidRDefault="00000000" w:rsidRPr="00000000" w14:paraId="0000006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y control de acceso, administrando los permisos a nivel de usuario o rol.</w:t>
      </w:r>
      <w:r w:rsidDel="00000000" w:rsidR="00000000" w:rsidRPr="00000000">
        <w:rPr>
          <w:rtl w:val="0"/>
        </w:rPr>
      </w:r>
    </w:p>
    <w:p w:rsidR="00000000" w:rsidDel="00000000" w:rsidP="00000000" w:rsidRDefault="00000000" w:rsidRPr="00000000" w14:paraId="00000066">
      <w:pPr>
        <w:spacing w:after="120" w:before="120"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AZF17VPaMkutpiRzB4ev56L/Q==">CgMxLjAaHwoBMBIaChgICVIUChJ0YWJsZS5oOGRuZDFmcXZpY3EyDmguZjQxNHFmaWk3eTNrMg5oLnYyeWJubXoxamZ3aDgAciExSkdPdk1xOTZCd09ZaGdya2tNMWt2VmZqT0JnTXV3VmU=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