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center"/>
        <w:rPr>
          <w:rFonts w:ascii="Cambria" w:hAnsi="Cambria" w:cs="Cambria"/>
          <w:b/>
          <w:sz w:val="32"/>
          <w:szCs w:val="32"/>
        </w:rPr>
      </w:pPr>
      <w:r>
        <w:rPr>
          <w:rFonts w:ascii="Cambria" w:hAnsi="Cambria" w:cs="Cambria"/>
          <w:b/>
          <w:u w:val="single"/>
          <w:sz w:val="32"/>
          <w:szCs w:val="32"/>
        </w:rPr>
        <w:t xml:space="preserve">MEMORANDO N° 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{memoNum}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 -OL-J- H.N.A.L.-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{anio}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24"/>
        <w:gridCol w:w="418"/>
        <w:gridCol w:w="6962"/>
      </w:tblGrid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A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hAnsi="Arial Narrow" w:cs="Arial Narrow"/>
                <w:b/>
                <w:sz w:val="24"/>
                <w:szCs w:val="24"/>
              </w:rPr>
              <w:t xml:space="preserve">{destNombre}</w:t>
            </w:r>
          </w:p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{destCargo}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DE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{remNombre}</w:t>
            </w:r>
          </w:p>
          <w:p>
            <w:pPr>
              <w:spacing w:after="0" w:line="240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{remCargo}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Asunto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Solicitud de Revisión y Evaluación de Cumplimiento de </w:t>
            </w: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{asunto}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Referencia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{referencia}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Fecha</w:t>
            </w:r>
          </w:p>
        </w:tc>
        <w:tc>
          <w:tcPr>
            <w:tcW w:w="418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40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{fecha}</w:t>
            </w:r>
          </w:p>
        </w:tc>
      </w:tr>
    </w:tbl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pBdr>
          <w:bottom w:val="single" w:sz="18" w:space="1" w:color="auto"/>
        </w:pBd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Por medio del presente me dirijo a usted, para saludarla cordialmente, y en atención al documento de la referencia, mediante el cual se solicita el </w:t>
      </w:r>
      <w:r>
        <w:rPr>
          <w:rFonts w:ascii="Arial" w:hAnsi="Arial" w:cs="Arial"/>
          <w:sz w:val="16"/>
          <w:szCs w:val="16"/>
        </w:rPr>
        <w:t xml:space="preserve">“</w:t>
      </w:r>
      <w:r>
        <w:rPr>
          <w:rFonts w:ascii="Arial" w:hAnsi="Arial" w:cs="Arial"/>
          <w:b/>
          <w:sz w:val="16"/>
          <w:szCs w:val="16"/>
        </w:rPr>
        <w:t xml:space="preserve">{titulo}</w:t>
      </w:r>
      <w:r>
        <w:rPr>
          <w:rFonts w:ascii="Arial" w:hAnsi="Arial" w:cs="Arial"/>
          <w:sz w:val="16"/>
          <w:szCs w:val="16"/>
        </w:rPr>
        <w:t xml:space="preserve">”</w:t>
      </w:r>
      <w:r>
        <w:rPr>
          <w:rFonts w:ascii="Arial" w:hAnsi="Arial" w:cs="Arial"/>
          <w:sz w:val="16"/>
          <w:szCs w:val="16"/>
        </w:rPr>
        <w:t xml:space="preserve"> al rubro en materia de convocatoria, obteniendo </w:t>
      </w:r>
      <w:r>
        <w:rPr>
          <w:rFonts w:ascii="Arial" w:hAnsi="Arial" w:cs="Arial"/>
          <w:b/>
          <w:sz w:val="16"/>
          <w:szCs w:val="16"/>
        </w:rPr>
        <w:t xml:space="preserve">{cantidad}</w:t>
      </w:r>
      <w:r>
        <w:rPr>
          <w:rFonts w:ascii="Arial" w:hAnsi="Arial" w:cs="Arial"/>
          <w:sz w:val="16"/>
          <w:szCs w:val="16"/>
        </w:rPr>
        <w:t xml:space="preserve"> cotizaciones a solicitud de </w:t>
      </w:r>
      <w:r>
        <w:rPr>
          <w:rFonts w:ascii="Arial" w:hAnsi="Arial" w:cs="Arial"/>
          <w:sz w:val="16"/>
          <w:szCs w:val="16"/>
        </w:rPr>
        <w:t xml:space="preserve">{solicitud}</w:t>
      </w:r>
      <w:r>
        <w:rPr>
          <w:rFonts w:ascii="Arial" w:hAnsi="Arial" w:cs="Arial"/>
          <w:sz w:val="16"/>
          <w:szCs w:val="16"/>
        </w:rPr>
        <w:t xml:space="preserve">, según detalle: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01"/>
        <w:gridCol w:w="3204"/>
        <w:gridCol w:w="1807"/>
        <w:gridCol w:w="3324"/>
      </w:tblGrid>
      <w:tr>
        <w:tc>
          <w:tcPr>
            <w:tcW w:w="601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3204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EMPRESA</w:t>
            </w:r>
          </w:p>
        </w:tc>
        <w:tc>
          <w:tcPr>
            <w:tcW w:w="1807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RUC</w:t>
            </w:r>
          </w:p>
        </w:tc>
        <w:tc>
          <w:tcPr>
            <w:tcW w:w="3324" w:type="dxa"/>
            <w:shd w:val="clear" w:color="auto" w:fill="A6A6A6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OBSERVACION</w:t>
            </w:r>
          </w:p>
        </w:tc>
      </w:tr>
      <w:tr>
        <w:tc>
          <w:tcPr>
            <w:tcW w:w="601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{#filas}{num}</w:t>
            </w:r>
          </w:p>
        </w:tc>
        <w:tc>
          <w:tcPr>
            <w:tcW w:w="3204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{empresa}</w:t>
            </w:r>
          </w:p>
        </w:tc>
        <w:tc>
          <w:tcPr>
            <w:tcW w:w="1807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{ruc}</w:t>
            </w:r>
          </w:p>
        </w:tc>
        <w:tc>
          <w:tcPr>
            <w:tcW w:w="3324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{obs}{/filas}</w:t>
            </w:r>
          </w:p>
        </w:tc>
      </w:tr>
    </w:tbl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Sobre el particular se hace de conocimiento, que se ha enviado a diferentes empresas de los cuales se obtuvo cotizaciones, se solicita si está de acuerdo con las especificaciones técnicas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De acuerdo al Numeral 44.6 del Artículo 44° del Reglamento de la Ley General de Contrataciones públicas, señala lo siguiente: “El requerimiento no incluye exigencias desproporcionadas e innecesarias que limiten la concurrencia o favorezcan a determinado proveedor ni hace referencia a procedencia , fabricante , marca, patente, origen o tipos de producción, ni descripción que oriente la contratación hacía ellos, salvo que la autoridad de la gestión administrativa haya aprobado el correspondiente proceso de compatibilización del requerimiento, conforme a las disposiciones que establezca la DGA mediante directiva”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Así mismo, el área usuaria tiene la responsabilidad técnica en la elaboración del requerimiento, precisos y objetivos mediante una participación activa en la evaluación de las cotizaciones asegurando que estas cumplan con las especificaciones técnicas, conforme al numeral 14.2 del Artículo 14º y Articulo 20 del Reglamento de la Ley de Contrataciones Públicas.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De lo anterior, en caso la cotización no cumpla con los términos de referencia y/o Especificaciones Técnicas requeridos, deberá indicar el motivo de manera clara y objetiva considerando lo consignado en el Numeral 46.4 del Artículo 46 de la LGCP, así como los principios que rigen la contratación pública contenidos en el Artículo 5 de la Ley General de las Contrataciones Públicas.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En tal sentido, se corre el traslado del expediente en original de la referencia con la finalidad de que, a través de su despacho, se sirva evaluar de acuerdo con las Especificaciones Técnicas, a fin de continuar con los trámites correspondientes y ejecución del ejercicio presupuestal de acuerdo a Ley.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jc w:val="lef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Atentamente,</w:t>
      </w: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 Narrow" w:hAnsi="Arial Narrow" w:cs="Arial Narrow"/>
          <w:sz w:val="20"/>
          <w:szCs w:val="20"/>
        </w:rPr>
      </w:pPr>
      <w:r>
        <w:rPr>
          <w:rFonts w:ascii="Arial Narrow" w:hAnsi="Arial Narrow" w:cs="Arial Narrow"/>
          <w:sz w:val="20"/>
          <w:szCs w:val="20"/>
        </w:rPr>
        <w:t xml:space="preserve">EXP. DIR.: {expDir}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 Narrow" w:hAnsi="Arial Narrow" w:cs="Arial Narrow"/>
          <w:sz w:val="20"/>
          <w:szCs w:val="20"/>
        </w:rPr>
      </w:pPr>
      <w:r>
        <w:rPr>
          <w:rFonts w:ascii="Arial Narrow" w:hAnsi="Arial Narrow" w:cs="Arial Narrow"/>
          <w:sz w:val="20"/>
          <w:szCs w:val="20"/>
        </w:rPr>
        <w:t xml:space="preserve">EXP. LOG. {expLog}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 Narrow" w:hAnsi="Arial Narrow" w:cs="Arial Narrow"/>
          <w:sz w:val="20"/>
          <w:szCs w:val="20"/>
        </w:rPr>
      </w:pPr>
      <w:r>
        <w:rPr>
          <w:rFonts w:ascii="Arial Narrow" w:hAnsi="Arial Narrow" w:cs="Arial Narrow"/>
          <w:sz w:val="20"/>
          <w:szCs w:val="20"/>
        </w:rPr>
        <w:t xml:space="preserve">Folios: ( {folios} ) original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 Narrow" w:hAnsi="Arial Narrow" w:cs="Arial Narrow"/>
          <w:sz w:val="20"/>
          <w:szCs w:val="20"/>
        </w:rPr>
      </w:pPr>
      <w:r>
        <w:rPr>
          <w:rFonts w:ascii="Arial Narrow" w:hAnsi="Arial Narrow" w:cs="Arial Narrow"/>
          <w:sz w:val="20"/>
          <w:szCs w:val="20"/>
        </w:rPr>
        <w:t xml:space="preserve">C.c.  Archivo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 Narrow" w:hAnsi="Arial Narrow" w:cs="Arial Narrow"/>
          <w:sz w:val="20"/>
          <w:szCs w:val="20"/>
        </w:rPr>
      </w:pPr>
      <w:r>
        <w:rPr>
          <w:rFonts w:ascii="Arial Narrow" w:hAnsi="Arial Narrow" w:cs="Arial Narrow"/>
          <w:sz w:val="20"/>
          <w:szCs w:val="20"/>
        </w:rPr>
        <w:t xml:space="preserve">Elaborado por: {elaborado}</w:t>
      </w:r>
    </w:p>
    <w:p>
      <w:pPr>
        <w:framePr w:w="9000" w:h="1400" w:hRule="atLeast" w:wrap="around" w:vAnchor="margin" w:hAnchor="margin" w:x="0" w:yAlign="bottom"/>
        <w:spacing w:after="0" w:line="240" w:lineRule="auto"/>
        <w:jc w:val="left"/>
        <w:rPr>
          <w:rFonts w:ascii="Arial Narrow" w:hAnsi="Arial Narrow" w:cs="Arial Narrow"/>
          <w:sz w:val="20"/>
          <w:szCs w:val="20"/>
        </w:rPr>
      </w:pPr>
      <w:r>
        <w:rPr>
          <w:rFonts w:ascii="Arial Narrow" w:hAnsi="Arial Narrow" w:cs="Arial Narrow"/>
          <w:sz w:val="20"/>
          <w:szCs w:val="20"/>
        </w:rPr>
        <w:t xml:space="preserve">{iniciales}</w:t>
      </w:r>
    </w:p>
    <w:sectPr w:rsidR="00043E44" w:rsidRPr="00A50C99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A58A4" w14:textId="77777777" w:rsidR="00856354" w:rsidRDefault="00856354" w:rsidP="00CE798C">
      <w:pPr>
        <w:spacing w:after="0" w:line="240" w:lineRule="auto"/>
      </w:pPr>
      <w:r>
        <w:separator/>
      </w:r>
    </w:p>
  </w:endnote>
  <w:endnote w:type="continuationSeparator" w:id="0">
    <w:p w14:paraId="2497C6A1" w14:textId="77777777" w:rsidR="00856354" w:rsidRDefault="00856354" w:rsidP="00CE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75D28" w14:textId="77777777" w:rsidR="00CE798C" w:rsidRDefault="00CE798C" w:rsidP="00CE798C">
    <w:pPr>
      <w:pStyle w:val="Piedepgina"/>
    </w:pPr>
    <w:bookmarkStart w:id="3" w:name="_Hlk142500863"/>
    <w:bookmarkStart w:id="4" w:name="_Hlk142500864"/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B0FDAE8" wp14:editId="4A4DC1CF">
              <wp:simplePos x="0" y="0"/>
              <wp:positionH relativeFrom="page">
                <wp:posOffset>3312160</wp:posOffset>
              </wp:positionH>
              <wp:positionV relativeFrom="paragraph">
                <wp:posOffset>172626</wp:posOffset>
              </wp:positionV>
              <wp:extent cx="3538220" cy="710565"/>
              <wp:effectExtent l="0" t="0" r="5080" b="0"/>
              <wp:wrapNone/>
              <wp:docPr id="745683864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38220" cy="710565"/>
                        <a:chOff x="-11548" y="438"/>
                        <a:chExt cx="46512" cy="7130"/>
                      </a:xfrm>
                    </wpg:grpSpPr>
                    <wps:wsp>
                      <wps:cNvPr id="1261109142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8961" y="539"/>
                          <a:ext cx="16002" cy="7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DE87B3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Av. Alfonso Ugarte 848</w:t>
                            </w:r>
                          </w:p>
                          <w:p w14:paraId="7708CF64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Lima 01, Perú</w:t>
                            </w:r>
                          </w:p>
                          <w:p w14:paraId="280928B7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color w:val="CC0000"/>
                                <w:sz w:val="14"/>
                                <w:lang w:val="pt-PT"/>
                              </w:rPr>
                              <w:t>T</w:t>
                            </w: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 xml:space="preserve"> (01 – 5094800) Anexo 1301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23519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-11548" y="2105"/>
                          <a:ext cx="26940" cy="29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2A29A" w14:textId="77777777" w:rsidR="00CE798C" w:rsidRPr="00C24A3F" w:rsidRDefault="00CE798C" w:rsidP="00CE798C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www.gob.pe/hospitalloayza</w:t>
                            </w:r>
                            <w:bookmarkStart w:id="5" w:name="_Hlk135839854"/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.</w:t>
                            </w:r>
                            <w:bookmarkEnd w:id="5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7765400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0FDAE8" id="Grupo 2" o:spid="_x0000_s1027" style="position:absolute;margin-left:260.8pt;margin-top:13.6pt;width:278.6pt;height:55.95pt;z-index:251659264;mso-position-horizontal-relative:page;mso-width-relative:margin;mso-height-relative:margin" coordorigin="-11548,438" coordsize="46512,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8961;top:539;width:16002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" stroked="f">
                <v:textbox>
                  <w:txbxContent>
                    <w:p w14:paraId="5FDE87B3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Av. Alfonso Ugarte 848</w:t>
                      </w:r>
                    </w:p>
                    <w:p w14:paraId="7708CF64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Lima 01, Perú</w:t>
                      </w:r>
                    </w:p>
                    <w:p w14:paraId="280928B7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color w:val="CC0000"/>
                          <w:sz w:val="14"/>
                          <w:lang w:val="pt-PT"/>
                        </w:rPr>
                        <w:t>T</w:t>
                      </w:r>
                      <w:r w:rsidRPr="00B9761E">
                        <w:rPr>
                          <w:b/>
                          <w:sz w:val="14"/>
                          <w:lang w:val="pt-PT"/>
                        </w:rPr>
                        <w:t xml:space="preserve"> (01 – 5094800) Anexo 1301</w:t>
                      </w:r>
                    </w:p>
                  </w:txbxContent>
                </v:textbox>
              </v:shape>
              <v:shape id="Text Box 2" o:spid="_x0000_s1029" type="#_x0000_t202" style="position:absolute;left:-11548;top:2105;width:26940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" stroked="f">
                <v:textbox>
                  <w:txbxContent>
                    <w:p w14:paraId="7892A29A" w14:textId="77777777" w:rsidR="00CE798C" w:rsidRPr="00C24A3F" w:rsidRDefault="00CE798C" w:rsidP="00CE798C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www.gob.pe/hospitalloayza</w:t>
                      </w:r>
                      <w:bookmarkStart w:id="6" w:name="_Hlk135839854"/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.</w:t>
                      </w:r>
                      <w:bookmarkEnd w:id="6"/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" strokecolor="#c00"/>
              <w10:wrap anchorx="page"/>
            </v:group>
          </w:pict>
        </mc:Fallback>
      </mc:AlternateContent>
    </w:r>
  </w:p>
  <w:bookmarkEnd w:id="3"/>
  <w:bookmarkEnd w:id="4"/>
  <w:p w14:paraId="4A4D85B9" w14:textId="77777777" w:rsidR="00CE798C" w:rsidRDefault="00CE798C" w:rsidP="00CE798C">
    <w:pPr>
      <w:pStyle w:val="Piedepgina"/>
    </w:pPr>
  </w:p>
  <w:p w14:paraId="2DB106E4" w14:textId="77777777" w:rsidR="00CE798C" w:rsidRDefault="00CE7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19FE" w14:textId="77777777" w:rsidR="00856354" w:rsidRDefault="00856354" w:rsidP="00CE798C">
      <w:pPr>
        <w:spacing w:after="0" w:line="240" w:lineRule="auto"/>
      </w:pPr>
      <w:r>
        <w:separator/>
      </w:r>
    </w:p>
  </w:footnote>
  <w:footnote w:type="continuationSeparator" w:id="0">
    <w:p w14:paraId="106BA5C8" w14:textId="77777777" w:rsidR="00856354" w:rsidRDefault="00856354" w:rsidP="00CE7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43706" w14:textId="77777777" w:rsidR="00CE798C" w:rsidRDefault="00CE798C" w:rsidP="00CE798C">
    <w:pPr>
      <w:pStyle w:val="Encabezado"/>
      <w:tabs>
        <w:tab w:val="clear" w:pos="4252"/>
        <w:tab w:val="clear" w:pos="8504"/>
        <w:tab w:val="left" w:pos="6450"/>
      </w:tabs>
    </w:pPr>
    <w:bookmarkStart w:id="0" w:name="_Hlk157609978"/>
    <w:bookmarkStart w:id="1" w:name="_Hlk157609979"/>
    <w:bookmarkStart w:id="2" w:name="_Hlk203385926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4FF9A33" wp14:editId="1CCB7923">
              <wp:simplePos x="0" y="0"/>
              <wp:positionH relativeFrom="page">
                <wp:posOffset>3676650</wp:posOffset>
              </wp:positionH>
              <wp:positionV relativeFrom="paragraph">
                <wp:posOffset>-230505</wp:posOffset>
              </wp:positionV>
              <wp:extent cx="3876675" cy="666750"/>
              <wp:effectExtent l="0" t="0" r="9525" b="0"/>
              <wp:wrapTight wrapText="bothSides">
                <wp:wrapPolygon edited="0">
                  <wp:start x="0" y="0"/>
                  <wp:lineTo x="0" y="20983"/>
                  <wp:lineTo x="21547" y="20983"/>
                  <wp:lineTo x="21547" y="0"/>
                  <wp:lineTo x="0" y="0"/>
                </wp:wrapPolygon>
              </wp:wrapTight>
              <wp:docPr id="126021796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76675" cy="666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69BF774" w14:textId="77777777" w:rsidR="00CE798C" w:rsidRPr="002A1EA5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58711241" w14:textId="77777777" w:rsidR="00CE798C" w:rsidRPr="00513FD8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“Año de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FF9A3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289.5pt;margin-top:-18.15pt;width:305.25pt;height:52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" stroked="f">
              <v:textbox>
                <w:txbxContent>
                  <w:p w14:paraId="769BF774" w14:textId="77777777" w:rsidR="00CE798C" w:rsidRPr="002A1EA5" w:rsidRDefault="00CE798C" w:rsidP="00CE798C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58711241" w14:textId="77777777" w:rsidR="00CE798C" w:rsidRPr="00513FD8" w:rsidRDefault="00CE798C" w:rsidP="00CE798C">
                    <w:pPr>
                      <w:jc w:val="center"/>
                      <w:rPr>
                        <w:rFonts w:ascii="Arial" w:hAnsi="Arial" w:cs="Arial"/>
                        <w:sz w:val="14"/>
                        <w:szCs w:val="14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“Año de Recuperación y Consolidación de la Economía Peruana”</w:t>
                    </w:r>
                  </w:p>
                </w:txbxContent>
              </v:textbox>
              <w10:wrap type="tight" anchorx="page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62336" behindDoc="0" locked="0" layoutInCell="1" allowOverlap="1" wp14:anchorId="44F2E8B0" wp14:editId="35D591E3">
          <wp:simplePos x="0" y="0"/>
          <wp:positionH relativeFrom="column">
            <wp:posOffset>-441960</wp:posOffset>
          </wp:positionH>
          <wp:positionV relativeFrom="paragraph">
            <wp:posOffset>-220980</wp:posOffset>
          </wp:positionV>
          <wp:extent cx="2905125" cy="380301"/>
          <wp:effectExtent l="0" t="0" r="0" b="1270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66888" cy="388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  <w:bookmarkEnd w:id="1"/>
  </w:p>
  <w:bookmarkEnd w:id="2"/>
  <w:p w14:paraId="206371C8" w14:textId="77777777" w:rsidR="00CE798C" w:rsidRDefault="00CE79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B3753"/>
    <w:multiLevelType w:val="hybridMultilevel"/>
    <w:tmpl w:val="784696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055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8C"/>
    <w:rsid w:val="00043E44"/>
    <w:rsid w:val="00565F12"/>
    <w:rsid w:val="00856354"/>
    <w:rsid w:val="00934FE9"/>
    <w:rsid w:val="00A50C99"/>
    <w:rsid w:val="00CE798C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F68C30"/>
  <w15:chartTrackingRefBased/>
  <w15:docId w15:val="{60CBFC34-8C3D-4400-BCA6-01B1551CF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98C"/>
    <w:pPr>
      <w:spacing w:line="259" w:lineRule="auto"/>
    </w:pPr>
    <w:rPr>
      <w:rFonts w:ascii="Calibri" w:eastAsia="Calibri" w:hAnsi="Calibri" w:cs="Times New Roman"/>
      <w:kern w:val="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E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7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7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7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7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9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9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9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9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9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9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798C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Cita Pie de Página,titulo,Titulo de Fígura,TITULO A,Lista media 2 - Énfasis 41,Iz - Párrafo de lista,Sivsa Parrafo,List Paragraph,Cuadro 2-1,Párrafo de lista2,Titulo parrafo,Punto"/>
    <w:basedOn w:val="Normal"/>
    <w:link w:val="PrrafodelistaCar"/>
    <w:uiPriority w:val="34"/>
    <w:qFormat/>
    <w:rsid w:val="00CE79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79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7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9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798C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98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</w:rPr>
  </w:style>
  <w:style w:type="character" w:customStyle="1" w:styleId="SinespaciadoCar">
    <w:name w:val="Sin espaciado Car"/>
    <w:link w:val="Sinespaciado"/>
    <w:uiPriority w:val="1"/>
    <w:locked/>
    <w:rsid w:val="00CE798C"/>
    <w:rPr>
      <w:rFonts w:ascii="Calibri" w:eastAsia="Calibri" w:hAnsi="Calibri" w:cs="Times New Roman"/>
      <w:kern w:val="0"/>
      <w:sz w:val="22"/>
      <w:szCs w:val="22"/>
    </w:rPr>
  </w:style>
  <w:style w:type="table" w:styleId="Tablaconcuadrcula">
    <w:name w:val="Table Grid"/>
    <w:basedOn w:val="Tablanormal"/>
    <w:uiPriority w:val="39"/>
    <w:rsid w:val="00CE798C"/>
    <w:pPr>
      <w:spacing w:after="0" w:line="240" w:lineRule="auto"/>
    </w:pPr>
    <w:rPr>
      <w:kern w:val="0"/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character" w:customStyle="1" w:styleId="PrrafodelistaCar">
    <w:name w:val="Párrafo de lista Car"/>
    <w:aliases w:val="Bulleted List Car,Fundamentacion Car,Lista vistosa - Énfasis 11 Car,Cita Pie de Página Car,titulo Car,Titulo de Fígura Car,TITULO A Car,Lista media 2 - Énfasis 41 Car,Iz - Párrafo de lista Car,Sivsa Parrafo Car,List Paragraph Car"/>
    <w:link w:val="Prrafodelista"/>
    <w:uiPriority w:val="34"/>
    <w:qFormat/>
    <w:locked/>
    <w:rsid w:val="00CE79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981</Words>
  <Characters>5401</Characters>
  <Application>Microsoft Office Word</Application>
  <DocSecurity>0</DocSecurity>
  <Lines>45</Lines>
  <Paragraphs>12</Paragraphs>
  <ScaleCrop>false</ScaleCrop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2026-07-16T12:57:00Z</dcterms:created>
  <dcterms:modified xsi:type="dcterms:W3CDTF">2026-07-16T13:08:00Z</dcterms:modified>
</cp:coreProperties>
</file>