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001" w:rsidRPr="005B44FE" w:rsidRDefault="00663001" w:rsidP="00663001">
      <w:pPr>
        <w:pStyle w:val="Textoindependiente2"/>
        <w:jc w:val="center"/>
        <w:rPr>
          <w:b/>
          <w:sz w:val="22"/>
          <w:szCs w:val="22"/>
          <w:u w:val="single"/>
        </w:rPr>
      </w:pPr>
      <w:r w:rsidRPr="005B44FE">
        <w:rPr>
          <w:b/>
          <w:sz w:val="22"/>
          <w:szCs w:val="22"/>
          <w:u w:val="single"/>
        </w:rPr>
        <w:t>Plantilla del Estado del Arte</w:t>
      </w:r>
    </w:p>
    <w:p w:rsidR="00663001" w:rsidRPr="005B44FE" w:rsidRDefault="00663001" w:rsidP="00663001">
      <w:pPr>
        <w:pStyle w:val="Ttulo2"/>
        <w:jc w:val="left"/>
        <w:rPr>
          <w:rFonts w:ascii="Times New Roman" w:hAnsi="Times New Roman"/>
          <w:sz w:val="22"/>
          <w:szCs w:val="22"/>
        </w:rPr>
      </w:pPr>
    </w:p>
    <w:p w:rsidR="009320C6" w:rsidRDefault="00663001" w:rsidP="00663001">
      <w:pPr>
        <w:pBdr>
          <w:bottom w:val="single" w:sz="6" w:space="1" w:color="auto"/>
        </w:pBdr>
      </w:pPr>
      <w:r w:rsidRPr="00A46D45">
        <w:rPr>
          <w:b/>
          <w:sz w:val="22"/>
          <w:szCs w:val="22"/>
          <w:lang w:val="en-US"/>
        </w:rPr>
        <w:t xml:space="preserve">Author (s): </w:t>
      </w:r>
      <w:r w:rsidR="009320C6" w:rsidRPr="009320C6">
        <w:t xml:space="preserve">Frey R.M., </w:t>
      </w:r>
      <w:proofErr w:type="spellStart"/>
      <w:r w:rsidR="009320C6" w:rsidRPr="009320C6">
        <w:t>Hardjono</w:t>
      </w:r>
      <w:proofErr w:type="spellEnd"/>
      <w:r w:rsidR="009320C6" w:rsidRPr="009320C6">
        <w:t xml:space="preserve"> T., Smith C., </w:t>
      </w:r>
      <w:proofErr w:type="spellStart"/>
      <w:r w:rsidR="009320C6" w:rsidRPr="009320C6">
        <w:t>Erhardt</w:t>
      </w:r>
      <w:proofErr w:type="spellEnd"/>
      <w:r w:rsidR="009320C6" w:rsidRPr="009320C6">
        <w:t xml:space="preserve"> K., </w:t>
      </w:r>
      <w:proofErr w:type="spellStart"/>
      <w:r w:rsidR="009320C6" w:rsidRPr="009320C6">
        <w:t>Pentland</w:t>
      </w:r>
      <w:proofErr w:type="spellEnd"/>
      <w:r w:rsidR="009320C6" w:rsidRPr="009320C6">
        <w:t xml:space="preserve"> A.S.</w:t>
      </w:r>
    </w:p>
    <w:p w:rsidR="00663001" w:rsidRDefault="00663001" w:rsidP="00663001">
      <w:pPr>
        <w:pBdr>
          <w:bottom w:val="single" w:sz="6" w:space="1" w:color="auto"/>
        </w:pBdr>
      </w:pPr>
      <w:proofErr w:type="spellStart"/>
      <w:r w:rsidRPr="003F1631">
        <w:rPr>
          <w:b/>
          <w:sz w:val="22"/>
          <w:szCs w:val="22"/>
          <w:lang w:val="en-US"/>
        </w:rPr>
        <w:t>Títle</w:t>
      </w:r>
      <w:proofErr w:type="spellEnd"/>
      <w:r w:rsidRPr="003F1631">
        <w:rPr>
          <w:b/>
          <w:sz w:val="22"/>
          <w:szCs w:val="22"/>
          <w:lang w:val="en-US"/>
        </w:rPr>
        <w:t xml:space="preserve"> of paper: </w:t>
      </w:r>
      <w:proofErr w:type="spellStart"/>
      <w:r w:rsidR="009320C6" w:rsidRPr="009320C6">
        <w:t>Secure</w:t>
      </w:r>
      <w:proofErr w:type="spellEnd"/>
      <w:r w:rsidR="009320C6" w:rsidRPr="009320C6">
        <w:t xml:space="preserve"> </w:t>
      </w:r>
      <w:proofErr w:type="spellStart"/>
      <w:r w:rsidR="009320C6" w:rsidRPr="009320C6">
        <w:t>sharing</w:t>
      </w:r>
      <w:proofErr w:type="spellEnd"/>
      <w:r w:rsidR="009320C6" w:rsidRPr="009320C6">
        <w:t xml:space="preserve"> of </w:t>
      </w:r>
      <w:proofErr w:type="spellStart"/>
      <w:r w:rsidR="009320C6" w:rsidRPr="009320C6">
        <w:t>geospatial</w:t>
      </w:r>
      <w:proofErr w:type="spellEnd"/>
      <w:r w:rsidR="009320C6" w:rsidRPr="009320C6">
        <w:t xml:space="preserve"> </w:t>
      </w:r>
      <w:proofErr w:type="spellStart"/>
      <w:r w:rsidR="009320C6" w:rsidRPr="009320C6">
        <w:t>wildlife</w:t>
      </w:r>
      <w:proofErr w:type="spellEnd"/>
      <w:r w:rsidR="009320C6" w:rsidRPr="009320C6">
        <w:t xml:space="preserve"> data</w:t>
      </w:r>
    </w:p>
    <w:p w:rsidR="00663001" w:rsidRPr="009320C6" w:rsidRDefault="00663001" w:rsidP="00663001">
      <w:pPr>
        <w:pBdr>
          <w:bottom w:val="single" w:sz="6" w:space="1" w:color="auto"/>
        </w:pBdr>
      </w:pPr>
      <w:r w:rsidRPr="00C43617">
        <w:rPr>
          <w:b/>
          <w:sz w:val="22"/>
          <w:szCs w:val="22"/>
          <w:lang w:val="en-US"/>
        </w:rPr>
        <w:t>Journal</w:t>
      </w:r>
      <w:r w:rsidR="009320C6">
        <w:rPr>
          <w:b/>
          <w:sz w:val="22"/>
          <w:szCs w:val="22"/>
          <w:lang w:val="en-US"/>
        </w:rPr>
        <w:t xml:space="preserve">: </w:t>
      </w:r>
      <w:proofErr w:type="spellStart"/>
      <w:r w:rsidR="009320C6" w:rsidRPr="009320C6">
        <w:rPr>
          <w:rFonts w:ascii="Verdana" w:hAnsi="Verdana"/>
          <w:shd w:val="clear" w:color="auto" w:fill="FFFFFF"/>
        </w:rPr>
        <w:t>GeoRich</w:t>
      </w:r>
      <w:proofErr w:type="spellEnd"/>
      <w:r w:rsidR="009320C6" w:rsidRPr="009320C6">
        <w:rPr>
          <w:rFonts w:ascii="Verdana" w:hAnsi="Verdana"/>
          <w:shd w:val="clear" w:color="auto" w:fill="FFFFFF"/>
        </w:rPr>
        <w:t xml:space="preserve"> '17 </w:t>
      </w:r>
      <w:proofErr w:type="spellStart"/>
      <w:r w:rsidR="009320C6" w:rsidRPr="009320C6">
        <w:rPr>
          <w:rFonts w:ascii="Verdana" w:hAnsi="Verdana"/>
          <w:shd w:val="clear" w:color="auto" w:fill="FFFFFF"/>
        </w:rPr>
        <w:t>Proceedings</w:t>
      </w:r>
      <w:proofErr w:type="spellEnd"/>
      <w:r w:rsidR="009320C6" w:rsidRPr="009320C6">
        <w:rPr>
          <w:rFonts w:ascii="Verdana" w:hAnsi="Verdana"/>
          <w:shd w:val="clear" w:color="auto" w:fill="FFFFFF"/>
        </w:rPr>
        <w:t xml:space="preserve"> of </w:t>
      </w:r>
      <w:proofErr w:type="spellStart"/>
      <w:r w:rsidR="009320C6" w:rsidRPr="009320C6">
        <w:rPr>
          <w:rFonts w:ascii="Verdana" w:hAnsi="Verdana"/>
          <w:shd w:val="clear" w:color="auto" w:fill="FFFFFF"/>
        </w:rPr>
        <w:t>the</w:t>
      </w:r>
      <w:proofErr w:type="spellEnd"/>
      <w:r w:rsidR="009320C6" w:rsidRPr="009320C6">
        <w:rPr>
          <w:rFonts w:ascii="Verdana" w:hAnsi="Verdana"/>
          <w:shd w:val="clear" w:color="auto" w:fill="FFFFFF"/>
        </w:rPr>
        <w:t xml:space="preserve"> </w:t>
      </w:r>
      <w:proofErr w:type="spellStart"/>
      <w:r w:rsidR="009320C6" w:rsidRPr="009320C6">
        <w:rPr>
          <w:rFonts w:ascii="Verdana" w:hAnsi="Verdana"/>
          <w:shd w:val="clear" w:color="auto" w:fill="FFFFFF"/>
        </w:rPr>
        <w:t>Fourth</w:t>
      </w:r>
      <w:proofErr w:type="spellEnd"/>
      <w:r w:rsidR="009320C6" w:rsidRPr="009320C6">
        <w:rPr>
          <w:rFonts w:ascii="Verdana" w:hAnsi="Verdana"/>
          <w:shd w:val="clear" w:color="auto" w:fill="FFFFFF"/>
        </w:rPr>
        <w:t xml:space="preserve"> International ACM Workshop on </w:t>
      </w:r>
      <w:proofErr w:type="spellStart"/>
      <w:r w:rsidR="009320C6" w:rsidRPr="009320C6">
        <w:rPr>
          <w:rFonts w:ascii="Verdana" w:hAnsi="Verdana"/>
          <w:shd w:val="clear" w:color="auto" w:fill="FFFFFF"/>
        </w:rPr>
        <w:t>Managing</w:t>
      </w:r>
      <w:proofErr w:type="spellEnd"/>
      <w:r w:rsidR="009320C6" w:rsidRPr="009320C6">
        <w:rPr>
          <w:rFonts w:ascii="Verdana" w:hAnsi="Verdana"/>
          <w:shd w:val="clear" w:color="auto" w:fill="FFFFFF"/>
        </w:rPr>
        <w:t xml:space="preserve"> and </w:t>
      </w:r>
      <w:proofErr w:type="spellStart"/>
      <w:r w:rsidR="009320C6" w:rsidRPr="009320C6">
        <w:rPr>
          <w:rFonts w:ascii="Verdana" w:hAnsi="Verdana"/>
          <w:shd w:val="clear" w:color="auto" w:fill="FFFFFF"/>
        </w:rPr>
        <w:t>Mining</w:t>
      </w:r>
      <w:proofErr w:type="spellEnd"/>
      <w:r w:rsidR="009320C6" w:rsidRPr="009320C6">
        <w:rPr>
          <w:rFonts w:ascii="Verdana" w:hAnsi="Verdana"/>
          <w:shd w:val="clear" w:color="auto" w:fill="FFFFFF"/>
        </w:rPr>
        <w:t xml:space="preserve"> </w:t>
      </w:r>
      <w:proofErr w:type="spellStart"/>
      <w:r w:rsidR="009320C6" w:rsidRPr="009320C6">
        <w:rPr>
          <w:rFonts w:ascii="Verdana" w:hAnsi="Verdana"/>
          <w:shd w:val="clear" w:color="auto" w:fill="FFFFFF"/>
        </w:rPr>
        <w:t>Enriched</w:t>
      </w:r>
      <w:proofErr w:type="spellEnd"/>
      <w:r w:rsidR="009320C6" w:rsidRPr="009320C6">
        <w:rPr>
          <w:rFonts w:ascii="Verdana" w:hAnsi="Verdana"/>
          <w:shd w:val="clear" w:color="auto" w:fill="FFFFFF"/>
        </w:rPr>
        <w:t xml:space="preserve"> Geo-</w:t>
      </w:r>
      <w:proofErr w:type="spellStart"/>
      <w:r w:rsidR="009320C6" w:rsidRPr="009320C6">
        <w:rPr>
          <w:rFonts w:ascii="Verdana" w:hAnsi="Verdana"/>
          <w:shd w:val="clear" w:color="auto" w:fill="FFFFFF"/>
        </w:rPr>
        <w:t>Spatial</w:t>
      </w:r>
      <w:proofErr w:type="spellEnd"/>
      <w:r w:rsidR="009320C6" w:rsidRPr="009320C6">
        <w:rPr>
          <w:rFonts w:ascii="Verdana" w:hAnsi="Verdana"/>
          <w:shd w:val="clear" w:color="auto" w:fill="FFFFFF"/>
        </w:rPr>
        <w:t xml:space="preserve"> Data</w:t>
      </w:r>
    </w:p>
    <w:p w:rsidR="009320C6" w:rsidRPr="00C43617" w:rsidRDefault="009320C6" w:rsidP="00663001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proofErr w:type="spellStart"/>
      <w:r>
        <w:rPr>
          <w:b/>
          <w:sz w:val="22"/>
          <w:szCs w:val="22"/>
          <w:lang w:val="en-US"/>
        </w:rPr>
        <w:t>Volumen</w:t>
      </w:r>
      <w:proofErr w:type="spellEnd"/>
      <w:r>
        <w:rPr>
          <w:b/>
          <w:sz w:val="22"/>
          <w:szCs w:val="22"/>
          <w:lang w:val="en-US"/>
        </w:rPr>
        <w:t>:</w:t>
      </w:r>
      <w:r w:rsidR="009D698C">
        <w:rPr>
          <w:b/>
          <w:sz w:val="22"/>
          <w:szCs w:val="22"/>
          <w:lang w:val="en-US"/>
        </w:rPr>
        <w:t xml:space="preserve"> II</w:t>
      </w:r>
    </w:p>
    <w:p w:rsidR="00663001" w:rsidRPr="00093657" w:rsidRDefault="00663001" w:rsidP="00663001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proofErr w:type="spellStart"/>
      <w:proofErr w:type="gramStart"/>
      <w:r w:rsidRPr="00093657">
        <w:rPr>
          <w:b/>
          <w:sz w:val="22"/>
          <w:szCs w:val="22"/>
          <w:lang w:val="en-US"/>
        </w:rPr>
        <w:t>pag</w:t>
      </w:r>
      <w:proofErr w:type="spellEnd"/>
      <w:proofErr w:type="gramEnd"/>
      <w:r w:rsidRPr="00093657">
        <w:rPr>
          <w:b/>
          <w:sz w:val="22"/>
          <w:szCs w:val="22"/>
          <w:lang w:val="en-US"/>
        </w:rPr>
        <w:t xml:space="preserve"> – </w:t>
      </w:r>
      <w:proofErr w:type="spellStart"/>
      <w:r w:rsidRPr="00093657">
        <w:rPr>
          <w:b/>
          <w:sz w:val="22"/>
          <w:szCs w:val="22"/>
          <w:lang w:val="en-US"/>
        </w:rPr>
        <w:t>pag</w:t>
      </w:r>
      <w:proofErr w:type="spellEnd"/>
      <w:r w:rsidRPr="00093657">
        <w:rPr>
          <w:b/>
          <w:sz w:val="22"/>
          <w:szCs w:val="22"/>
          <w:lang w:val="en-US"/>
        </w:rPr>
        <w:t xml:space="preserve"> (year):</w:t>
      </w:r>
      <w:r>
        <w:rPr>
          <w:b/>
          <w:sz w:val="22"/>
          <w:szCs w:val="22"/>
          <w:lang w:val="en-US"/>
        </w:rPr>
        <w:t xml:space="preserve">  </w:t>
      </w:r>
      <w:r w:rsidR="00E945D2">
        <w:rPr>
          <w:b/>
          <w:sz w:val="22"/>
          <w:szCs w:val="22"/>
          <w:lang w:val="en-US"/>
        </w:rPr>
        <w:t>400-405</w:t>
      </w:r>
      <w:r w:rsidR="00092CD3">
        <w:rPr>
          <w:b/>
          <w:sz w:val="22"/>
          <w:szCs w:val="22"/>
          <w:lang w:val="en-US"/>
        </w:rPr>
        <w:t xml:space="preserve"> (</w:t>
      </w:r>
      <w:r w:rsidR="00E945D2">
        <w:rPr>
          <w:b/>
          <w:sz w:val="22"/>
          <w:szCs w:val="22"/>
          <w:lang w:val="en-US"/>
        </w:rPr>
        <w:t>2017</w:t>
      </w:r>
      <w:r>
        <w:rPr>
          <w:b/>
          <w:sz w:val="22"/>
          <w:szCs w:val="22"/>
          <w:lang w:val="en-US"/>
        </w:rPr>
        <w:t>)</w:t>
      </w:r>
    </w:p>
    <w:p w:rsidR="00663001" w:rsidRPr="00093657" w:rsidRDefault="00663001" w:rsidP="00663001">
      <w:pPr>
        <w:rPr>
          <w:b/>
          <w:sz w:val="22"/>
          <w:szCs w:val="22"/>
          <w:lang w:val="en-US"/>
        </w:rPr>
      </w:pPr>
    </w:p>
    <w:p w:rsidR="00663001" w:rsidRPr="00093657" w:rsidRDefault="00663001" w:rsidP="00663001">
      <w:pPr>
        <w:pStyle w:val="Textoindependiente2"/>
        <w:jc w:val="both"/>
        <w:rPr>
          <w:sz w:val="22"/>
          <w:szCs w:val="22"/>
          <w:lang w:val="en-US"/>
        </w:rPr>
      </w:pPr>
    </w:p>
    <w:p w:rsidR="00663001" w:rsidRDefault="00663001" w:rsidP="00663001">
      <w:pPr>
        <w:pStyle w:val="Textoindependiente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Problema que el autor desea resolver                                                                        </w:t>
      </w:r>
      <w:r w:rsidRPr="005B44FE">
        <w:rPr>
          <w:b/>
          <w:color w:val="538135" w:themeColor="accent6" w:themeShade="BF"/>
          <w:sz w:val="22"/>
          <w:szCs w:val="22"/>
        </w:rPr>
        <w:t>(</w:t>
      </w:r>
      <w:r>
        <w:rPr>
          <w:b/>
          <w:color w:val="538135" w:themeColor="accent6" w:themeShade="BF"/>
          <w:sz w:val="22"/>
          <w:szCs w:val="22"/>
        </w:rPr>
        <w:t>Max 0.5</w:t>
      </w:r>
      <w:r w:rsidRPr="005B44FE">
        <w:rPr>
          <w:b/>
          <w:color w:val="538135" w:themeColor="accent6" w:themeShade="BF"/>
          <w:sz w:val="22"/>
          <w:szCs w:val="22"/>
        </w:rPr>
        <w:t xml:space="preserve"> página)</w:t>
      </w:r>
    </w:p>
    <w:p w:rsidR="00663001" w:rsidRPr="009D698C" w:rsidRDefault="009D698C" w:rsidP="009D698C">
      <w:pPr>
        <w:pStyle w:val="Textoindependiente2"/>
        <w:jc w:val="both"/>
        <w:rPr>
          <w:sz w:val="22"/>
          <w:szCs w:val="22"/>
        </w:rPr>
      </w:pPr>
      <w:r w:rsidRPr="009D698C">
        <w:rPr>
          <w:sz w:val="22"/>
          <w:szCs w:val="22"/>
        </w:rPr>
        <w:t>Las modernas tecnologías de seguimiento permiten nuevas formas de minería de datos</w:t>
      </w:r>
      <w:r>
        <w:rPr>
          <w:sz w:val="22"/>
          <w:szCs w:val="22"/>
        </w:rPr>
        <w:t xml:space="preserve"> </w:t>
      </w:r>
      <w:r w:rsidRPr="009D698C">
        <w:rPr>
          <w:sz w:val="22"/>
          <w:szCs w:val="22"/>
        </w:rPr>
        <w:t>en la naturaleza. Permite a los centros de vigilancia de la fauna silvestre</w:t>
      </w:r>
      <w:r>
        <w:rPr>
          <w:sz w:val="22"/>
          <w:szCs w:val="22"/>
        </w:rPr>
        <w:t xml:space="preserve"> </w:t>
      </w:r>
      <w:r w:rsidRPr="009D698C">
        <w:rPr>
          <w:sz w:val="22"/>
          <w:szCs w:val="22"/>
        </w:rPr>
        <w:t>recopilar datos geoespaciales de forma no intrusiva y en tiempo real</w:t>
      </w:r>
      <w:r>
        <w:rPr>
          <w:sz w:val="22"/>
          <w:szCs w:val="22"/>
        </w:rPr>
        <w:t xml:space="preserve"> </w:t>
      </w:r>
      <w:r w:rsidRPr="009D698C">
        <w:rPr>
          <w:sz w:val="22"/>
          <w:szCs w:val="22"/>
        </w:rPr>
        <w:t>y a bajo costo. Desafortunadamente, los datos de la vida silvestre están expuestos al crimen</w:t>
      </w:r>
      <w:r>
        <w:rPr>
          <w:sz w:val="22"/>
          <w:szCs w:val="22"/>
        </w:rPr>
        <w:t xml:space="preserve"> </w:t>
      </w:r>
      <w:r w:rsidRPr="009D698C">
        <w:rPr>
          <w:sz w:val="22"/>
          <w:szCs w:val="22"/>
        </w:rPr>
        <w:t>y ya se ha informado de un primer caso de "</w:t>
      </w:r>
      <w:proofErr w:type="spellStart"/>
      <w:r w:rsidRPr="009D698C">
        <w:rPr>
          <w:sz w:val="22"/>
          <w:szCs w:val="22"/>
        </w:rPr>
        <w:t>cibercazación</w:t>
      </w:r>
      <w:proofErr w:type="spellEnd"/>
      <w:r w:rsidRPr="009D698C">
        <w:rPr>
          <w:sz w:val="22"/>
          <w:szCs w:val="22"/>
        </w:rPr>
        <w:t>".</w:t>
      </w:r>
      <w:r>
        <w:rPr>
          <w:sz w:val="22"/>
          <w:szCs w:val="22"/>
        </w:rPr>
        <w:t xml:space="preserve"> </w:t>
      </w:r>
      <w:r w:rsidRPr="009D698C">
        <w:rPr>
          <w:sz w:val="22"/>
          <w:szCs w:val="22"/>
        </w:rPr>
        <w:t>Basándose en datos geoespaciales robados, los cazadores furtivos pueden rastrear y rastrear fácilmente</w:t>
      </w:r>
      <w:r>
        <w:rPr>
          <w:sz w:val="22"/>
          <w:szCs w:val="22"/>
        </w:rPr>
        <w:t xml:space="preserve"> </w:t>
      </w:r>
      <w:r w:rsidRPr="009D698C">
        <w:rPr>
          <w:sz w:val="22"/>
          <w:szCs w:val="22"/>
        </w:rPr>
        <w:t>matar animales. Como resultado, los centros de monitoreo cautelosos limitaron los datos</w:t>
      </w:r>
      <w:r>
        <w:rPr>
          <w:sz w:val="22"/>
          <w:szCs w:val="22"/>
        </w:rPr>
        <w:t xml:space="preserve"> </w:t>
      </w:r>
      <w:r w:rsidRPr="009D698C">
        <w:rPr>
          <w:sz w:val="22"/>
          <w:szCs w:val="22"/>
        </w:rPr>
        <w:t>acceso para la investigación y el uso público. Esto significa que los datos</w:t>
      </w:r>
      <w:r>
        <w:rPr>
          <w:sz w:val="22"/>
          <w:szCs w:val="22"/>
        </w:rPr>
        <w:t xml:space="preserve"> </w:t>
      </w:r>
      <w:r w:rsidRPr="009D698C">
        <w:rPr>
          <w:sz w:val="22"/>
          <w:szCs w:val="22"/>
        </w:rPr>
        <w:t xml:space="preserve">no </w:t>
      </w:r>
      <w:proofErr w:type="gramStart"/>
      <w:r w:rsidRPr="009D698C">
        <w:rPr>
          <w:sz w:val="22"/>
          <w:szCs w:val="22"/>
        </w:rPr>
        <w:t>puede</w:t>
      </w:r>
      <w:proofErr w:type="gramEnd"/>
      <w:r w:rsidRPr="009D698C">
        <w:rPr>
          <w:sz w:val="22"/>
          <w:szCs w:val="22"/>
        </w:rPr>
        <w:t xml:space="preserve"> explotar plenamente su potencial</w:t>
      </w:r>
      <w:r>
        <w:rPr>
          <w:sz w:val="22"/>
          <w:szCs w:val="22"/>
        </w:rPr>
        <w:t>.</w:t>
      </w:r>
    </w:p>
    <w:p w:rsidR="007A28D9" w:rsidRDefault="007A28D9" w:rsidP="00663001">
      <w:pPr>
        <w:pStyle w:val="Textoindependiente2"/>
        <w:jc w:val="both"/>
        <w:rPr>
          <w:b/>
          <w:sz w:val="22"/>
          <w:szCs w:val="22"/>
        </w:rPr>
      </w:pPr>
    </w:p>
    <w:p w:rsidR="00663001" w:rsidRPr="005B44FE" w:rsidRDefault="00663001" w:rsidP="00663001">
      <w:pPr>
        <w:pStyle w:val="Textoindependiente2"/>
        <w:jc w:val="both"/>
        <w:rPr>
          <w:b/>
          <w:sz w:val="22"/>
          <w:szCs w:val="22"/>
        </w:rPr>
      </w:pPr>
      <w:r w:rsidRPr="005B44FE">
        <w:rPr>
          <w:b/>
          <w:sz w:val="22"/>
          <w:szCs w:val="22"/>
        </w:rPr>
        <w:t xml:space="preserve">Descripción del aporte del autor </w:t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color w:val="538135" w:themeColor="accent6" w:themeShade="BF"/>
          <w:sz w:val="22"/>
          <w:szCs w:val="22"/>
        </w:rPr>
        <w:t>(</w:t>
      </w:r>
      <w:r>
        <w:rPr>
          <w:b/>
          <w:color w:val="538135" w:themeColor="accent6" w:themeShade="BF"/>
          <w:sz w:val="22"/>
          <w:szCs w:val="22"/>
        </w:rPr>
        <w:t>1 – 1.5</w:t>
      </w:r>
      <w:r w:rsidRPr="005B44FE">
        <w:rPr>
          <w:b/>
          <w:color w:val="538135" w:themeColor="accent6" w:themeShade="BF"/>
          <w:sz w:val="22"/>
          <w:szCs w:val="22"/>
        </w:rPr>
        <w:t xml:space="preserve"> páginas)</w:t>
      </w:r>
    </w:p>
    <w:p w:rsidR="00663001" w:rsidRPr="005B44FE" w:rsidRDefault="00663001" w:rsidP="00663001">
      <w:pPr>
        <w:pStyle w:val="Textoindependiente2"/>
        <w:jc w:val="both"/>
        <w:rPr>
          <w:b/>
          <w:sz w:val="22"/>
          <w:szCs w:val="22"/>
        </w:rPr>
      </w:pPr>
    </w:p>
    <w:p w:rsidR="00663001" w:rsidRDefault="00663001" w:rsidP="00663001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>
        <w:rPr>
          <w:sz w:val="22"/>
          <w:szCs w:val="22"/>
        </w:rPr>
        <w:t>{Procedimiento realizado}</w:t>
      </w:r>
      <w:r>
        <w:rPr>
          <w:sz w:val="22"/>
          <w:szCs w:val="22"/>
        </w:rPr>
        <w:tab/>
      </w:r>
    </w:p>
    <w:p w:rsidR="009D698C" w:rsidRPr="009D698C" w:rsidRDefault="009D698C" w:rsidP="009D698C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>
        <w:rPr>
          <w:sz w:val="22"/>
          <w:szCs w:val="22"/>
        </w:rPr>
        <w:t>El autor propuso</w:t>
      </w:r>
      <w:r w:rsidRPr="009D698C">
        <w:rPr>
          <w:sz w:val="22"/>
          <w:szCs w:val="22"/>
        </w:rPr>
        <w:t xml:space="preserve"> una solución novedosa para</w:t>
      </w:r>
      <w:r>
        <w:rPr>
          <w:sz w:val="22"/>
          <w:szCs w:val="22"/>
        </w:rPr>
        <w:t xml:space="preserve"> </w:t>
      </w:r>
      <w:r w:rsidRPr="009D698C">
        <w:rPr>
          <w:sz w:val="22"/>
          <w:szCs w:val="22"/>
        </w:rPr>
        <w:t>superar el problema de seguridad. Permite a los centros de monitoreo</w:t>
      </w:r>
      <w:r>
        <w:rPr>
          <w:sz w:val="22"/>
          <w:szCs w:val="22"/>
        </w:rPr>
        <w:t xml:space="preserve"> </w:t>
      </w:r>
      <w:r w:rsidRPr="009D698C">
        <w:rPr>
          <w:sz w:val="22"/>
          <w:szCs w:val="22"/>
        </w:rPr>
        <w:t>responder de forma segura a las preguntas de l</w:t>
      </w:r>
      <w:r>
        <w:rPr>
          <w:sz w:val="22"/>
          <w:szCs w:val="22"/>
        </w:rPr>
        <w:t>a comunidad investigadora y para p</w:t>
      </w:r>
      <w:r w:rsidRPr="009D698C">
        <w:rPr>
          <w:sz w:val="22"/>
          <w:szCs w:val="22"/>
        </w:rPr>
        <w:t>roporcionar</w:t>
      </w:r>
      <w:r w:rsidRPr="009D698C">
        <w:rPr>
          <w:sz w:val="22"/>
          <w:szCs w:val="22"/>
        </w:rPr>
        <w:t xml:space="preserve"> datos agregados al público mientras que los datos brutos son</w:t>
      </w:r>
      <w:r>
        <w:rPr>
          <w:sz w:val="22"/>
          <w:szCs w:val="22"/>
        </w:rPr>
        <w:t xml:space="preserve"> </w:t>
      </w:r>
      <w:r w:rsidRPr="009D698C">
        <w:rPr>
          <w:sz w:val="22"/>
          <w:szCs w:val="22"/>
        </w:rPr>
        <w:t>protegidos</w:t>
      </w:r>
      <w:r>
        <w:rPr>
          <w:sz w:val="22"/>
          <w:szCs w:val="22"/>
        </w:rPr>
        <w:t xml:space="preserve"> contra terceros n</w:t>
      </w:r>
      <w:r w:rsidRPr="009D698C">
        <w:rPr>
          <w:sz w:val="22"/>
          <w:szCs w:val="22"/>
        </w:rPr>
        <w:t>o autorizados. Este servicio de datos</w:t>
      </w:r>
      <w:r>
        <w:rPr>
          <w:sz w:val="22"/>
          <w:szCs w:val="22"/>
        </w:rPr>
        <w:t xml:space="preserve"> también puede ser monetizado, s</w:t>
      </w:r>
      <w:r w:rsidRPr="009D698C">
        <w:rPr>
          <w:sz w:val="22"/>
          <w:szCs w:val="22"/>
        </w:rPr>
        <w:t>e pueden conc</w:t>
      </w:r>
      <w:r>
        <w:rPr>
          <w:sz w:val="22"/>
          <w:szCs w:val="22"/>
        </w:rPr>
        <w:t xml:space="preserve">ebir varias aplicaciones nuevas </w:t>
      </w:r>
      <w:r w:rsidRPr="009D698C">
        <w:rPr>
          <w:sz w:val="22"/>
          <w:szCs w:val="22"/>
        </w:rPr>
        <w:t>como una aplicación móvil para la prevención de conflictos entre humanos.</w:t>
      </w:r>
    </w:p>
    <w:p w:rsidR="00E945D2" w:rsidRDefault="009D698C" w:rsidP="009D698C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proofErr w:type="gramStart"/>
      <w:r w:rsidRPr="009D698C">
        <w:rPr>
          <w:sz w:val="22"/>
          <w:szCs w:val="22"/>
        </w:rPr>
        <w:t>y</w:t>
      </w:r>
      <w:proofErr w:type="gramEnd"/>
      <w:r w:rsidRPr="009D698C">
        <w:rPr>
          <w:sz w:val="22"/>
          <w:szCs w:val="22"/>
        </w:rPr>
        <w:t xml:space="preserve"> la vida silvestre o para involucrar a la gente en la donación de vida silvestre. Además</w:t>
      </w:r>
      <w:r>
        <w:rPr>
          <w:sz w:val="22"/>
          <w:szCs w:val="22"/>
        </w:rPr>
        <w:t xml:space="preserve">, </w:t>
      </w:r>
      <w:r w:rsidRPr="009D698C">
        <w:rPr>
          <w:sz w:val="22"/>
          <w:szCs w:val="22"/>
        </w:rPr>
        <w:t>presentando la solución y los casos pot</w:t>
      </w:r>
      <w:r>
        <w:rPr>
          <w:sz w:val="22"/>
          <w:szCs w:val="22"/>
        </w:rPr>
        <w:t xml:space="preserve">enciales de uso, la intención que el autor manifiesta </w:t>
      </w:r>
      <w:r w:rsidRPr="009D698C">
        <w:rPr>
          <w:sz w:val="22"/>
          <w:szCs w:val="22"/>
        </w:rPr>
        <w:t>es para iniciar una discusión sobre la necesidad de datos</w:t>
      </w:r>
      <w:r>
        <w:rPr>
          <w:sz w:val="22"/>
          <w:szCs w:val="22"/>
        </w:rPr>
        <w:t xml:space="preserve"> </w:t>
      </w:r>
      <w:r w:rsidRPr="009D698C">
        <w:rPr>
          <w:sz w:val="22"/>
          <w:szCs w:val="22"/>
        </w:rPr>
        <w:t>protección y privacidad en el mundo animal.</w:t>
      </w:r>
    </w:p>
    <w:p w:rsidR="006E77A0" w:rsidRDefault="006E77A0" w:rsidP="009D698C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6E77A0" w:rsidRDefault="006E77A0" w:rsidP="006E77A0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Entonces lo primero que indica en su procedimiento el autor es realizar una </w:t>
      </w:r>
      <w:r w:rsidRPr="006E77A0">
        <w:rPr>
          <w:sz w:val="22"/>
          <w:szCs w:val="22"/>
        </w:rPr>
        <w:t>investigación sobre la vida silvestre utilizando</w:t>
      </w:r>
      <w:r>
        <w:rPr>
          <w:sz w:val="22"/>
          <w:szCs w:val="22"/>
        </w:rPr>
        <w:t xml:space="preserve"> </w:t>
      </w:r>
      <w:r w:rsidRPr="006E77A0">
        <w:rPr>
          <w:sz w:val="22"/>
          <w:szCs w:val="22"/>
        </w:rPr>
        <w:t>información geoespacial</w:t>
      </w:r>
      <w:r>
        <w:rPr>
          <w:sz w:val="22"/>
          <w:szCs w:val="22"/>
        </w:rPr>
        <w:t xml:space="preserve">. </w:t>
      </w:r>
      <w:r w:rsidRPr="006E77A0">
        <w:rPr>
          <w:sz w:val="22"/>
          <w:szCs w:val="22"/>
        </w:rPr>
        <w:t>El valor de los datos geoespaciales para la investigación sobre la vida silvestre es indiscutible.</w:t>
      </w:r>
      <w:r>
        <w:rPr>
          <w:sz w:val="22"/>
          <w:szCs w:val="22"/>
        </w:rPr>
        <w:t xml:space="preserve"> </w:t>
      </w:r>
      <w:r w:rsidRPr="006E77A0">
        <w:rPr>
          <w:sz w:val="22"/>
          <w:szCs w:val="22"/>
        </w:rPr>
        <w:t>Los investigadores utilizan los datos para la investigación básica sobre comportamiento, hábitos</w:t>
      </w:r>
      <w:r>
        <w:rPr>
          <w:sz w:val="22"/>
          <w:szCs w:val="22"/>
        </w:rPr>
        <w:t xml:space="preserve"> </w:t>
      </w:r>
      <w:r w:rsidRPr="006E77A0">
        <w:rPr>
          <w:sz w:val="22"/>
          <w:szCs w:val="22"/>
        </w:rPr>
        <w:t>y necesidades, para m</w:t>
      </w:r>
      <w:r>
        <w:rPr>
          <w:sz w:val="22"/>
          <w:szCs w:val="22"/>
        </w:rPr>
        <w:t>onitorear poblaciones enteras</w:t>
      </w:r>
      <w:r w:rsidRPr="006E77A0">
        <w:rPr>
          <w:sz w:val="22"/>
          <w:szCs w:val="22"/>
        </w:rPr>
        <w:t>, para planificar</w:t>
      </w:r>
      <w:r>
        <w:rPr>
          <w:sz w:val="22"/>
          <w:szCs w:val="22"/>
        </w:rPr>
        <w:t xml:space="preserve"> futuras reservas naturales</w:t>
      </w:r>
      <w:r w:rsidRPr="006E77A0">
        <w:rPr>
          <w:sz w:val="22"/>
          <w:szCs w:val="22"/>
        </w:rPr>
        <w:t>, o para la prevención y el control de</w:t>
      </w:r>
      <w:r>
        <w:rPr>
          <w:sz w:val="22"/>
          <w:szCs w:val="22"/>
        </w:rPr>
        <w:t xml:space="preserve"> enfermedades animales</w:t>
      </w:r>
      <w:r w:rsidRPr="006E77A0">
        <w:rPr>
          <w:sz w:val="22"/>
          <w:szCs w:val="22"/>
        </w:rPr>
        <w:t xml:space="preserve">. </w:t>
      </w:r>
    </w:p>
    <w:p w:rsidR="006E77A0" w:rsidRDefault="006E77A0" w:rsidP="006E77A0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6E77A0" w:rsidRDefault="006E77A0" w:rsidP="006E77A0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Segundo, realizar el </w:t>
      </w:r>
      <w:r w:rsidRPr="006E77A0">
        <w:rPr>
          <w:sz w:val="22"/>
          <w:szCs w:val="22"/>
        </w:rPr>
        <w:t>marco para la conservación de la privacidad</w:t>
      </w:r>
      <w:r>
        <w:rPr>
          <w:sz w:val="22"/>
          <w:szCs w:val="22"/>
        </w:rPr>
        <w:t xml:space="preserve">. </w:t>
      </w:r>
      <w:r w:rsidRPr="006E77A0">
        <w:rPr>
          <w:sz w:val="22"/>
          <w:szCs w:val="22"/>
        </w:rPr>
        <w:t>Hoy en día existe la comprensión de que para los gobiernos, las sociedades y los gobiernos</w:t>
      </w:r>
      <w:r>
        <w:rPr>
          <w:sz w:val="22"/>
          <w:szCs w:val="22"/>
        </w:rPr>
        <w:t xml:space="preserve"> </w:t>
      </w:r>
      <w:r w:rsidRPr="006E77A0">
        <w:rPr>
          <w:sz w:val="22"/>
          <w:szCs w:val="22"/>
        </w:rPr>
        <w:t>la industria para que funcione es necesario</w:t>
      </w:r>
      <w:r>
        <w:rPr>
          <w:sz w:val="22"/>
          <w:szCs w:val="22"/>
        </w:rPr>
        <w:t xml:space="preserve"> </w:t>
      </w:r>
      <w:r w:rsidRPr="006E77A0">
        <w:rPr>
          <w:sz w:val="22"/>
          <w:szCs w:val="22"/>
        </w:rPr>
        <w:t>compartir información</w:t>
      </w:r>
      <w:r>
        <w:rPr>
          <w:sz w:val="22"/>
          <w:szCs w:val="22"/>
        </w:rPr>
        <w:t xml:space="preserve"> </w:t>
      </w:r>
      <w:r w:rsidRPr="006E77A0">
        <w:rPr>
          <w:sz w:val="22"/>
          <w:szCs w:val="22"/>
        </w:rPr>
        <w:t xml:space="preserve">basado en datos. Sin embargo, junto con esta </w:t>
      </w:r>
      <w:r>
        <w:rPr>
          <w:sz w:val="22"/>
          <w:szCs w:val="22"/>
        </w:rPr>
        <w:t xml:space="preserve">necesidad de datos, se encuentra </w:t>
      </w:r>
      <w:r w:rsidRPr="006E77A0">
        <w:rPr>
          <w:sz w:val="22"/>
          <w:szCs w:val="22"/>
        </w:rPr>
        <w:t>también la correspondiente necesidad de preservación de la privacidad para el</w:t>
      </w:r>
      <w:r>
        <w:rPr>
          <w:sz w:val="22"/>
          <w:szCs w:val="22"/>
        </w:rPr>
        <w:t xml:space="preserve"> </w:t>
      </w:r>
      <w:r w:rsidRPr="006E77A0">
        <w:rPr>
          <w:sz w:val="22"/>
          <w:szCs w:val="22"/>
        </w:rPr>
        <w:t>los sujetos que pueden estar representados en los datos.</w:t>
      </w:r>
      <w:r>
        <w:rPr>
          <w:sz w:val="22"/>
          <w:szCs w:val="22"/>
        </w:rPr>
        <w:t xml:space="preserve"> Aquí podemos analizar varias opciones o fusión de las mismas:</w:t>
      </w:r>
    </w:p>
    <w:p w:rsidR="006E77A0" w:rsidRPr="006E77A0" w:rsidRDefault="006E77A0" w:rsidP="00635AF6">
      <w:pPr>
        <w:pStyle w:val="Textoindependiente2"/>
        <w:numPr>
          <w:ilvl w:val="0"/>
          <w:numId w:val="3"/>
        </w:numPr>
        <w:tabs>
          <w:tab w:val="left" w:pos="3315"/>
        </w:tabs>
        <w:jc w:val="both"/>
        <w:rPr>
          <w:sz w:val="22"/>
          <w:szCs w:val="22"/>
        </w:rPr>
      </w:pPr>
      <w:r w:rsidRPr="006E77A0">
        <w:rPr>
          <w:sz w:val="22"/>
          <w:szCs w:val="22"/>
        </w:rPr>
        <w:t>MIT OPAL. Creemos que se necesita un nuevo paradigma para</w:t>
      </w:r>
      <w:r w:rsidRPr="006E77A0">
        <w:rPr>
          <w:sz w:val="22"/>
          <w:szCs w:val="22"/>
        </w:rPr>
        <w:t xml:space="preserve"> c</w:t>
      </w:r>
      <w:r w:rsidRPr="006E77A0">
        <w:rPr>
          <w:sz w:val="22"/>
          <w:szCs w:val="22"/>
        </w:rPr>
        <w:t>onsulta escalable de conjuntos de datos que se encuentran f</w:t>
      </w:r>
      <w:r w:rsidRPr="006E77A0">
        <w:rPr>
          <w:sz w:val="22"/>
          <w:szCs w:val="22"/>
        </w:rPr>
        <w:t>ísicamente dispersos a través d</w:t>
      </w:r>
      <w:r w:rsidRPr="006E77A0">
        <w:rPr>
          <w:sz w:val="22"/>
          <w:szCs w:val="22"/>
        </w:rPr>
        <w:t>el Internet, y poseído por diversas organizaciones, mientras que</w:t>
      </w:r>
      <w:r w:rsidRPr="006E77A0">
        <w:rPr>
          <w:sz w:val="22"/>
          <w:szCs w:val="22"/>
        </w:rPr>
        <w:t xml:space="preserve"> </w:t>
      </w:r>
      <w:r w:rsidRPr="006E77A0">
        <w:rPr>
          <w:sz w:val="22"/>
          <w:szCs w:val="22"/>
        </w:rPr>
        <w:t>mantener la seguridad y la privacidad de la información que</w:t>
      </w:r>
      <w:r w:rsidRPr="006E77A0">
        <w:rPr>
          <w:sz w:val="22"/>
          <w:szCs w:val="22"/>
        </w:rPr>
        <w:t xml:space="preserve"> </w:t>
      </w:r>
      <w:r w:rsidRPr="006E77A0">
        <w:rPr>
          <w:sz w:val="22"/>
          <w:szCs w:val="22"/>
        </w:rPr>
        <w:t>puede derivarse de los conjuntos de datos distribuidos</w:t>
      </w:r>
      <w:r w:rsidRPr="006E77A0">
        <w:rPr>
          <w:sz w:val="22"/>
          <w:szCs w:val="22"/>
        </w:rPr>
        <w:t>.</w:t>
      </w:r>
      <w:r w:rsidRPr="006E77A0">
        <w:t xml:space="preserve"> </w:t>
      </w:r>
      <w:r w:rsidRPr="006E77A0">
        <w:rPr>
          <w:sz w:val="22"/>
          <w:szCs w:val="22"/>
        </w:rPr>
        <w:t xml:space="preserve">En este nuevo paradigma - llamado MIT Open </w:t>
      </w:r>
      <w:proofErr w:type="spellStart"/>
      <w:r w:rsidRPr="006E77A0">
        <w:rPr>
          <w:sz w:val="22"/>
          <w:szCs w:val="22"/>
        </w:rPr>
        <w:t>Algorithms</w:t>
      </w:r>
      <w:proofErr w:type="spellEnd"/>
      <w:r w:rsidRPr="006E77A0">
        <w:rPr>
          <w:sz w:val="22"/>
          <w:szCs w:val="22"/>
        </w:rPr>
        <w:t xml:space="preserve"> (OPAL) los datos brutos nunca salen de su ubicación física o del control de</w:t>
      </w:r>
      <w:r w:rsidRPr="006E77A0">
        <w:rPr>
          <w:sz w:val="22"/>
          <w:szCs w:val="22"/>
        </w:rPr>
        <w:t xml:space="preserve"> </w:t>
      </w:r>
      <w:r w:rsidRPr="006E77A0">
        <w:rPr>
          <w:sz w:val="22"/>
          <w:szCs w:val="22"/>
        </w:rPr>
        <w:t>su dueño. En su lugar, los nodos que llevan conjuntos de datos relevantes ejecutan</w:t>
      </w:r>
      <w:r>
        <w:rPr>
          <w:sz w:val="22"/>
          <w:szCs w:val="22"/>
        </w:rPr>
        <w:t xml:space="preserve"> </w:t>
      </w:r>
      <w:proofErr w:type="spellStart"/>
      <w:r w:rsidRPr="006E77A0">
        <w:rPr>
          <w:sz w:val="22"/>
          <w:szCs w:val="22"/>
        </w:rPr>
        <w:t>subconsultas</w:t>
      </w:r>
      <w:proofErr w:type="spellEnd"/>
      <w:r w:rsidRPr="006E77A0">
        <w:rPr>
          <w:sz w:val="22"/>
          <w:szCs w:val="22"/>
        </w:rPr>
        <w:t xml:space="preserve"> e informe sobre el resultado.</w:t>
      </w:r>
    </w:p>
    <w:p w:rsidR="006E77A0" w:rsidRDefault="006E77A0" w:rsidP="00377B5E">
      <w:pPr>
        <w:pStyle w:val="Textoindependiente2"/>
        <w:numPr>
          <w:ilvl w:val="0"/>
          <w:numId w:val="3"/>
        </w:numPr>
        <w:tabs>
          <w:tab w:val="left" w:pos="3315"/>
        </w:tabs>
        <w:jc w:val="both"/>
        <w:rPr>
          <w:sz w:val="22"/>
          <w:szCs w:val="22"/>
        </w:rPr>
      </w:pPr>
      <w:r w:rsidRPr="006E77A0">
        <w:rPr>
          <w:sz w:val="22"/>
          <w:szCs w:val="22"/>
        </w:rPr>
        <w:t>Algoritmos comprobados. Un aspecto</w:t>
      </w:r>
      <w:r w:rsidRPr="006E77A0">
        <w:rPr>
          <w:sz w:val="22"/>
          <w:szCs w:val="22"/>
        </w:rPr>
        <w:t xml:space="preserve"> clave del MIT OPAL es el uso d</w:t>
      </w:r>
      <w:r w:rsidRPr="006E77A0">
        <w:rPr>
          <w:sz w:val="22"/>
          <w:szCs w:val="22"/>
        </w:rPr>
        <w:t>el examen por parte de expertos en la materia de lo</w:t>
      </w:r>
      <w:r w:rsidRPr="006E77A0">
        <w:rPr>
          <w:sz w:val="22"/>
          <w:szCs w:val="22"/>
        </w:rPr>
        <w:t xml:space="preserve">s algoritmos (consultas) que </w:t>
      </w:r>
      <w:r w:rsidRPr="006E77A0">
        <w:rPr>
          <w:sz w:val="22"/>
          <w:szCs w:val="22"/>
        </w:rPr>
        <w:t>permite correr contra un conjunto de datos dado dentro de un dato objetivo</w:t>
      </w:r>
      <w:r w:rsidRPr="006E77A0">
        <w:rPr>
          <w:sz w:val="22"/>
          <w:szCs w:val="22"/>
        </w:rPr>
        <w:t xml:space="preserve"> </w:t>
      </w:r>
      <w:r w:rsidRPr="006E77A0">
        <w:rPr>
          <w:sz w:val="22"/>
          <w:szCs w:val="22"/>
        </w:rPr>
        <w:t xml:space="preserve">repositorio. La idea aquí es que los algoritmos </w:t>
      </w:r>
      <w:r w:rsidRPr="006E77A0">
        <w:rPr>
          <w:sz w:val="22"/>
          <w:szCs w:val="22"/>
        </w:rPr>
        <w:lastRenderedPageBreak/>
        <w:t>deben ser verificados por</w:t>
      </w:r>
      <w:r>
        <w:rPr>
          <w:sz w:val="22"/>
          <w:szCs w:val="22"/>
        </w:rPr>
        <w:t xml:space="preserve"> </w:t>
      </w:r>
      <w:r w:rsidRPr="006E77A0">
        <w:rPr>
          <w:sz w:val="22"/>
          <w:szCs w:val="22"/>
        </w:rPr>
        <w:t>que los expertos estén libres de sesgos y otros efectos secundarios no deseados</w:t>
      </w:r>
      <w:r w:rsidR="00D56DF3">
        <w:rPr>
          <w:sz w:val="22"/>
          <w:szCs w:val="22"/>
        </w:rPr>
        <w:t>.</w:t>
      </w:r>
    </w:p>
    <w:p w:rsidR="00D56DF3" w:rsidRDefault="00D56DF3" w:rsidP="00EE1F01">
      <w:pPr>
        <w:pStyle w:val="Textoindependiente2"/>
        <w:numPr>
          <w:ilvl w:val="0"/>
          <w:numId w:val="3"/>
        </w:numPr>
        <w:tabs>
          <w:tab w:val="left" w:pos="3315"/>
        </w:tabs>
        <w:jc w:val="both"/>
        <w:rPr>
          <w:sz w:val="22"/>
          <w:szCs w:val="22"/>
        </w:rPr>
      </w:pPr>
      <w:r w:rsidRPr="00D56DF3">
        <w:rPr>
          <w:sz w:val="22"/>
          <w:szCs w:val="22"/>
        </w:rPr>
        <w:t>Respuestas seguras. El modelo OPAL de mover el algoritmo a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los datos y el uso de la investigación por parte de expertos permite un repositorio de datos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para elegir si está o no dispuesta a aceptar una propuesta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Consulta OPAL. En el caso de que acepte a una determinada persona investigada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también tiene la opción de imponer un filtrado adicional en el algoritmo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los datos resultantes antes de ser devuelto</w:t>
      </w:r>
      <w:r w:rsidRPr="00D56DF3">
        <w:rPr>
          <w:sz w:val="22"/>
          <w:szCs w:val="22"/>
        </w:rPr>
        <w:t>s como respuesta a la solicitud</w:t>
      </w:r>
      <w:r>
        <w:rPr>
          <w:sz w:val="22"/>
          <w:szCs w:val="22"/>
        </w:rPr>
        <w:t xml:space="preserve"> de que</w:t>
      </w:r>
      <w:r w:rsidRPr="00D56DF3">
        <w:rPr>
          <w:sz w:val="22"/>
          <w:szCs w:val="22"/>
        </w:rPr>
        <w:t>r</w:t>
      </w:r>
      <w:r>
        <w:rPr>
          <w:sz w:val="22"/>
          <w:szCs w:val="22"/>
        </w:rPr>
        <w:t>y.</w:t>
      </w:r>
    </w:p>
    <w:p w:rsidR="00D56DF3" w:rsidRDefault="00D56DF3" w:rsidP="00FA1897">
      <w:pPr>
        <w:pStyle w:val="Textoindependiente2"/>
        <w:numPr>
          <w:ilvl w:val="0"/>
          <w:numId w:val="3"/>
        </w:numPr>
        <w:tabs>
          <w:tab w:val="left" w:pos="3315"/>
        </w:tabs>
        <w:jc w:val="both"/>
        <w:rPr>
          <w:sz w:val="22"/>
          <w:szCs w:val="22"/>
        </w:rPr>
      </w:pPr>
      <w:r w:rsidRPr="00D56DF3">
        <w:rPr>
          <w:sz w:val="22"/>
          <w:szCs w:val="22"/>
        </w:rPr>
        <w:t>Tecnología de Cadenas de Bloqueo. La tecnología de la cadena de bloques se puede utilizar para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capturar y registrar tanto las consultas de vetted como las respuestas seguras, y como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Este sistema proporciona un mecanismo útil para apoyar la auditoría posterior al evento.</w:t>
      </w:r>
      <w:r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y responsabilidad. Una forma fácil de hacerlo sería que el consultor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calcular un hash criptográfico de la consulta enviada, y para los datos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para calcular el hash de la respuesta. Además, el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proporciona beneficios para los propietarios de los datos cuando quieren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monetizar sus datos, incluyendo la capacidad de vincular dinero y datos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flujos, o micro-pagos con pequeños costos de transacción.</w:t>
      </w:r>
    </w:p>
    <w:p w:rsidR="00D56DF3" w:rsidRDefault="00D56DF3" w:rsidP="00D56DF3">
      <w:pPr>
        <w:pStyle w:val="Textoindependiente2"/>
        <w:tabs>
          <w:tab w:val="left" w:pos="3315"/>
        </w:tabs>
        <w:ind w:left="360"/>
        <w:jc w:val="both"/>
        <w:rPr>
          <w:sz w:val="22"/>
          <w:szCs w:val="22"/>
        </w:rPr>
      </w:pPr>
    </w:p>
    <w:p w:rsidR="00D56DF3" w:rsidRDefault="00D56DF3" w:rsidP="00D56DF3">
      <w:pPr>
        <w:pStyle w:val="Textoindependiente2"/>
        <w:tabs>
          <w:tab w:val="left" w:pos="3315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Tercero, se consigue la siguiente arquitectura del sistema:</w:t>
      </w:r>
    </w:p>
    <w:p w:rsidR="00D56DF3" w:rsidRPr="00D56DF3" w:rsidRDefault="00D56DF3" w:rsidP="00D56DF3">
      <w:pPr>
        <w:pStyle w:val="Textoindependiente2"/>
        <w:tabs>
          <w:tab w:val="left" w:pos="3315"/>
        </w:tabs>
        <w:ind w:left="360"/>
        <w:jc w:val="both"/>
        <w:rPr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0FAA645D" wp14:editId="02FE8448">
            <wp:extent cx="5579745" cy="3275965"/>
            <wp:effectExtent l="0" t="0" r="190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A0" w:rsidRDefault="006E77A0" w:rsidP="009D698C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D56DF3" w:rsidRDefault="00D56DF3" w:rsidP="009D698C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9D698C" w:rsidRDefault="00D56DF3" w:rsidP="00D56DF3">
      <w:pPr>
        <w:pStyle w:val="Textoindependiente2"/>
        <w:tabs>
          <w:tab w:val="left" w:pos="3315"/>
        </w:tabs>
        <w:rPr>
          <w:sz w:val="22"/>
          <w:szCs w:val="22"/>
        </w:rPr>
      </w:pPr>
      <w:r>
        <w:rPr>
          <w:sz w:val="22"/>
          <w:szCs w:val="22"/>
        </w:rPr>
        <w:t>El flujo de seria de la siguiente manera:</w:t>
      </w:r>
    </w:p>
    <w:p w:rsidR="00D56DF3" w:rsidRDefault="00D56DF3" w:rsidP="00D56DF3">
      <w:pPr>
        <w:pStyle w:val="Textoindependiente2"/>
        <w:numPr>
          <w:ilvl w:val="0"/>
          <w:numId w:val="5"/>
        </w:numPr>
        <w:tabs>
          <w:tab w:val="left" w:pos="3315"/>
        </w:tabs>
        <w:rPr>
          <w:sz w:val="22"/>
          <w:szCs w:val="22"/>
        </w:rPr>
      </w:pPr>
      <w:r w:rsidRPr="00D56DF3">
        <w:rPr>
          <w:sz w:val="22"/>
          <w:szCs w:val="22"/>
        </w:rPr>
        <w:t>Paso 1: El Usuario hace uso del Cliente OPAL (por ejemplo</w:t>
      </w:r>
      <w:r>
        <w:rPr>
          <w:sz w:val="22"/>
          <w:szCs w:val="22"/>
        </w:rPr>
        <w:t xml:space="preserve"> </w:t>
      </w:r>
      <w:proofErr w:type="spellStart"/>
      <w:r w:rsidRPr="00D56DF3">
        <w:rPr>
          <w:sz w:val="22"/>
          <w:szCs w:val="22"/>
        </w:rPr>
        <w:t>Webb</w:t>
      </w:r>
      <w:proofErr w:type="spellEnd"/>
      <w:r w:rsidRPr="00D56DF3">
        <w:rPr>
          <w:sz w:val="22"/>
          <w:szCs w:val="22"/>
        </w:rPr>
        <w:t xml:space="preserve"> App) para seleccionar una o más consultas de plantillas</w:t>
      </w:r>
      <w:r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de las Consultas Comprobadas establecidas en el Servicio OPAL.</w:t>
      </w:r>
    </w:p>
    <w:p w:rsidR="00D56DF3" w:rsidRPr="00D56DF3" w:rsidRDefault="00D56DF3" w:rsidP="00D56DF3">
      <w:pPr>
        <w:pStyle w:val="Textoindependiente2"/>
        <w:tabs>
          <w:tab w:val="left" w:pos="3315"/>
        </w:tabs>
        <w:rPr>
          <w:sz w:val="22"/>
          <w:szCs w:val="22"/>
        </w:rPr>
      </w:pPr>
    </w:p>
    <w:p w:rsidR="00D56DF3" w:rsidRDefault="00D56DF3" w:rsidP="00D56DF3">
      <w:pPr>
        <w:pStyle w:val="Textoindependiente2"/>
        <w:numPr>
          <w:ilvl w:val="0"/>
          <w:numId w:val="5"/>
        </w:numPr>
        <w:tabs>
          <w:tab w:val="left" w:pos="3315"/>
        </w:tabs>
        <w:rPr>
          <w:sz w:val="22"/>
          <w:szCs w:val="22"/>
        </w:rPr>
      </w:pPr>
      <w:r w:rsidRPr="00D56DF3">
        <w:rPr>
          <w:sz w:val="22"/>
          <w:szCs w:val="22"/>
        </w:rPr>
        <w:t>Paso 2: El usuario completa la plantilla de consulta con</w:t>
      </w:r>
      <w:r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i</w:t>
      </w:r>
      <w:r>
        <w:rPr>
          <w:sz w:val="22"/>
          <w:szCs w:val="22"/>
        </w:rPr>
        <w:t xml:space="preserve">nformación sobre el remitente e </w:t>
      </w:r>
      <w:proofErr w:type="spellStart"/>
      <w:r w:rsidRPr="00D56DF3">
        <w:rPr>
          <w:sz w:val="22"/>
          <w:szCs w:val="22"/>
        </w:rPr>
        <w:t>nformación</w:t>
      </w:r>
      <w:proofErr w:type="spellEnd"/>
      <w:r w:rsidRPr="00D56DF3">
        <w:rPr>
          <w:sz w:val="22"/>
          <w:szCs w:val="22"/>
        </w:rPr>
        <w:t xml:space="preserve"> sobre el destino,</w:t>
      </w:r>
      <w:r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firma digitalmente la consul</w:t>
      </w:r>
      <w:r>
        <w:rPr>
          <w:sz w:val="22"/>
          <w:szCs w:val="22"/>
        </w:rPr>
        <w:t xml:space="preserve">ta y envía la consulta firmada </w:t>
      </w:r>
      <w:proofErr w:type="gramStart"/>
      <w:r>
        <w:rPr>
          <w:sz w:val="22"/>
          <w:szCs w:val="22"/>
        </w:rPr>
        <w:t xml:space="preserve">a </w:t>
      </w:r>
      <w:r w:rsidRPr="00D56DF3">
        <w:rPr>
          <w:sz w:val="22"/>
          <w:szCs w:val="22"/>
        </w:rPr>
        <w:t>el</w:t>
      </w:r>
      <w:proofErr w:type="gramEnd"/>
      <w:r w:rsidRPr="00D56DF3">
        <w:rPr>
          <w:sz w:val="22"/>
          <w:szCs w:val="22"/>
        </w:rPr>
        <w:t xml:space="preserve"> punto final apropiado en el Servicio de Datos OPAL.</w:t>
      </w:r>
    </w:p>
    <w:p w:rsidR="00D56DF3" w:rsidRPr="00D56DF3" w:rsidRDefault="00D56DF3" w:rsidP="00D56DF3">
      <w:pPr>
        <w:pStyle w:val="Textoindependiente2"/>
        <w:tabs>
          <w:tab w:val="left" w:pos="3315"/>
        </w:tabs>
        <w:rPr>
          <w:sz w:val="22"/>
          <w:szCs w:val="22"/>
        </w:rPr>
      </w:pPr>
    </w:p>
    <w:p w:rsidR="00D56DF3" w:rsidRDefault="00D56DF3" w:rsidP="00D56DF3">
      <w:pPr>
        <w:pStyle w:val="Textoindependiente2"/>
        <w:numPr>
          <w:ilvl w:val="0"/>
          <w:numId w:val="5"/>
        </w:numPr>
        <w:tabs>
          <w:tab w:val="left" w:pos="3315"/>
        </w:tabs>
        <w:rPr>
          <w:sz w:val="22"/>
          <w:szCs w:val="22"/>
        </w:rPr>
      </w:pPr>
      <w:r w:rsidRPr="00D56DF3">
        <w:rPr>
          <w:sz w:val="22"/>
          <w:szCs w:val="22"/>
        </w:rPr>
        <w:t>Paso 3: El punto final de recepción en el OPAL Data</w:t>
      </w:r>
      <w:r>
        <w:rPr>
          <w:sz w:val="22"/>
          <w:szCs w:val="22"/>
        </w:rPr>
        <w:t xml:space="preserve">. </w:t>
      </w:r>
      <w:r w:rsidRPr="00D56DF3">
        <w:rPr>
          <w:sz w:val="22"/>
          <w:szCs w:val="22"/>
        </w:rPr>
        <w:t>El servicio verifica la firma en la consulta del usuario. Si</w:t>
      </w:r>
      <w:r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la firma es válida y conocida, pasa una copia de</w:t>
      </w:r>
      <w:r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la consulta firmada al Servicio de Registro OPAL para</w:t>
      </w:r>
      <w:r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archivando y capturando en la cadena de bloques.</w:t>
      </w:r>
    </w:p>
    <w:p w:rsidR="00D56DF3" w:rsidRPr="00D56DF3" w:rsidRDefault="00D56DF3" w:rsidP="00D56DF3">
      <w:pPr>
        <w:pStyle w:val="Textoindependiente2"/>
        <w:tabs>
          <w:tab w:val="left" w:pos="3315"/>
        </w:tabs>
        <w:rPr>
          <w:sz w:val="22"/>
          <w:szCs w:val="22"/>
        </w:rPr>
      </w:pPr>
    </w:p>
    <w:p w:rsidR="00D56DF3" w:rsidRPr="00D56DF3" w:rsidRDefault="00D56DF3" w:rsidP="00D56DF3">
      <w:pPr>
        <w:pStyle w:val="Textoindependiente2"/>
        <w:numPr>
          <w:ilvl w:val="0"/>
          <w:numId w:val="5"/>
        </w:numPr>
        <w:tabs>
          <w:tab w:val="left" w:pos="3315"/>
        </w:tabs>
        <w:rPr>
          <w:sz w:val="22"/>
          <w:szCs w:val="22"/>
        </w:rPr>
      </w:pPr>
      <w:r w:rsidRPr="00D56DF3">
        <w:rPr>
          <w:sz w:val="22"/>
          <w:szCs w:val="22"/>
        </w:rPr>
        <w:lastRenderedPageBreak/>
        <w:t>Paso 4: El servidor de datos interactúa con la base de datos para</w:t>
      </w:r>
      <w:r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generar un archivo de respuesta completo.</w:t>
      </w:r>
    </w:p>
    <w:p w:rsidR="00D56DF3" w:rsidRDefault="00D56DF3" w:rsidP="00D56DF3">
      <w:pPr>
        <w:pStyle w:val="Textoindependiente2"/>
        <w:numPr>
          <w:ilvl w:val="0"/>
          <w:numId w:val="5"/>
        </w:numPr>
        <w:tabs>
          <w:tab w:val="left" w:pos="3315"/>
        </w:tabs>
        <w:rPr>
          <w:sz w:val="22"/>
          <w:szCs w:val="22"/>
        </w:rPr>
      </w:pPr>
      <w:r w:rsidRPr="00D56DF3">
        <w:rPr>
          <w:sz w:val="22"/>
          <w:szCs w:val="22"/>
        </w:rPr>
        <w:t>Paso 5: El archivo de la respuesta resultante se pasa al</w:t>
      </w:r>
      <w:r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Motor de respuestas seguro para el análisis de seguridad y el desmontaje</w:t>
      </w:r>
      <w:r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de IIP.</w:t>
      </w:r>
    </w:p>
    <w:p w:rsidR="00D56DF3" w:rsidRPr="00D56DF3" w:rsidRDefault="00D56DF3" w:rsidP="00D56DF3">
      <w:pPr>
        <w:pStyle w:val="Textoindependiente2"/>
        <w:tabs>
          <w:tab w:val="left" w:pos="3315"/>
        </w:tabs>
        <w:rPr>
          <w:sz w:val="22"/>
          <w:szCs w:val="22"/>
        </w:rPr>
      </w:pPr>
    </w:p>
    <w:p w:rsidR="00D56DF3" w:rsidRPr="00D56DF3" w:rsidRDefault="00D56DF3" w:rsidP="00502397">
      <w:pPr>
        <w:pStyle w:val="Textoindependiente2"/>
        <w:numPr>
          <w:ilvl w:val="0"/>
          <w:numId w:val="5"/>
        </w:numPr>
        <w:tabs>
          <w:tab w:val="left" w:pos="3315"/>
        </w:tabs>
        <w:rPr>
          <w:sz w:val="22"/>
          <w:szCs w:val="22"/>
        </w:rPr>
      </w:pPr>
      <w:r w:rsidRPr="00D56DF3">
        <w:rPr>
          <w:sz w:val="22"/>
          <w:szCs w:val="22"/>
        </w:rPr>
        <w:t>Paso 6: Antes de enviar la consulta segura, responda a la siguiente dirección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Usuario, una copia de la respuesta a la consulta se pasa al</w:t>
      </w:r>
      <w:r w:rsidRPr="00D56DF3"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 xml:space="preserve">OPAL Log </w:t>
      </w:r>
      <w:proofErr w:type="spellStart"/>
      <w:r w:rsidRPr="00D56DF3">
        <w:rPr>
          <w:sz w:val="22"/>
          <w:szCs w:val="22"/>
        </w:rPr>
        <w:t>Service</w:t>
      </w:r>
      <w:proofErr w:type="spellEnd"/>
      <w:r w:rsidRPr="00D56DF3">
        <w:rPr>
          <w:sz w:val="22"/>
          <w:szCs w:val="22"/>
        </w:rPr>
        <w:t xml:space="preserve"> para archivar y capturar en el directorio</w:t>
      </w:r>
      <w:r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cadena de bloqueo.</w:t>
      </w:r>
    </w:p>
    <w:p w:rsidR="00D56DF3" w:rsidRPr="00D56DF3" w:rsidRDefault="00D56DF3" w:rsidP="00D56DF3">
      <w:pPr>
        <w:pStyle w:val="Textoindependiente2"/>
        <w:tabs>
          <w:tab w:val="left" w:pos="3315"/>
        </w:tabs>
        <w:rPr>
          <w:sz w:val="22"/>
          <w:szCs w:val="22"/>
        </w:rPr>
      </w:pPr>
    </w:p>
    <w:p w:rsidR="00D56DF3" w:rsidRDefault="00D56DF3" w:rsidP="00D56DF3">
      <w:pPr>
        <w:pStyle w:val="Textoindependiente2"/>
        <w:numPr>
          <w:ilvl w:val="0"/>
          <w:numId w:val="5"/>
        </w:numPr>
        <w:tabs>
          <w:tab w:val="left" w:pos="3315"/>
        </w:tabs>
        <w:rPr>
          <w:sz w:val="22"/>
          <w:szCs w:val="22"/>
        </w:rPr>
      </w:pPr>
      <w:r w:rsidRPr="00D56DF3">
        <w:rPr>
          <w:sz w:val="22"/>
          <w:szCs w:val="22"/>
        </w:rPr>
        <w:t>Paso 7: El Servicio de Datos OPAL envía la respuesta de consulta segura</w:t>
      </w:r>
      <w:r>
        <w:rPr>
          <w:sz w:val="22"/>
          <w:szCs w:val="22"/>
        </w:rPr>
        <w:t xml:space="preserve"> </w:t>
      </w:r>
      <w:r w:rsidRPr="00D56DF3">
        <w:rPr>
          <w:sz w:val="22"/>
          <w:szCs w:val="22"/>
        </w:rPr>
        <w:t>al usuario.</w:t>
      </w:r>
    </w:p>
    <w:p w:rsidR="009D698C" w:rsidRDefault="009D698C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9D698C" w:rsidRDefault="009D698C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9D698C" w:rsidRDefault="009D698C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663001" w:rsidRDefault="00663001" w:rsidP="00663001">
      <w:pPr>
        <w:pStyle w:val="Textoindependiente2"/>
        <w:jc w:val="both"/>
        <w:rPr>
          <w:sz w:val="22"/>
          <w:szCs w:val="22"/>
        </w:rPr>
      </w:pPr>
      <w:r>
        <w:rPr>
          <w:sz w:val="22"/>
          <w:szCs w:val="22"/>
        </w:rPr>
        <w:t>{Conclusiones}.</w:t>
      </w:r>
    </w:p>
    <w:p w:rsidR="00663001" w:rsidRDefault="00663001" w:rsidP="00663001">
      <w:pPr>
        <w:pStyle w:val="Textoindependiente2"/>
        <w:jc w:val="both"/>
        <w:rPr>
          <w:sz w:val="22"/>
          <w:szCs w:val="22"/>
        </w:rPr>
      </w:pPr>
    </w:p>
    <w:p w:rsidR="00502397" w:rsidRDefault="00502397" w:rsidP="002953FB">
      <w:pPr>
        <w:pStyle w:val="Textoindependiente2"/>
        <w:jc w:val="both"/>
        <w:rPr>
          <w:sz w:val="22"/>
          <w:szCs w:val="22"/>
        </w:rPr>
      </w:pPr>
      <w:r w:rsidRPr="00502397">
        <w:rPr>
          <w:sz w:val="22"/>
          <w:szCs w:val="22"/>
        </w:rPr>
        <w:t>Existe una amplia gama de posibles casos de uso para los productos descritos.</w:t>
      </w:r>
      <w:r w:rsidR="002953FB" w:rsidRPr="002953FB">
        <w:t xml:space="preserve"> </w:t>
      </w:r>
      <w:r w:rsidR="002953FB" w:rsidRPr="002953FB">
        <w:rPr>
          <w:sz w:val="22"/>
          <w:szCs w:val="22"/>
        </w:rPr>
        <w:t>Con nuestro sistema, la monitorización</w:t>
      </w:r>
      <w:r w:rsidR="002953FB">
        <w:rPr>
          <w:sz w:val="22"/>
          <w:szCs w:val="22"/>
        </w:rPr>
        <w:t xml:space="preserve"> </w:t>
      </w:r>
      <w:r w:rsidR="002953FB" w:rsidRPr="002953FB">
        <w:rPr>
          <w:sz w:val="22"/>
          <w:szCs w:val="22"/>
        </w:rPr>
        <w:t>centro puede proporcionar actualizaciones diarias sobre el animal adoptado a los</w:t>
      </w:r>
      <w:r w:rsidR="002953FB">
        <w:rPr>
          <w:sz w:val="22"/>
          <w:szCs w:val="22"/>
        </w:rPr>
        <w:t xml:space="preserve"> a</w:t>
      </w:r>
      <w:r w:rsidR="002953FB" w:rsidRPr="002953FB">
        <w:rPr>
          <w:sz w:val="22"/>
          <w:szCs w:val="22"/>
        </w:rPr>
        <w:t>doptadores</w:t>
      </w:r>
      <w:r w:rsidR="002953FB" w:rsidRPr="002953FB">
        <w:rPr>
          <w:sz w:val="22"/>
          <w:szCs w:val="22"/>
        </w:rPr>
        <w:t>. Así, la relación entre el animal y su adoptante</w:t>
      </w:r>
      <w:r w:rsidR="002953FB">
        <w:rPr>
          <w:sz w:val="22"/>
          <w:szCs w:val="22"/>
        </w:rPr>
        <w:t xml:space="preserve"> </w:t>
      </w:r>
      <w:r w:rsidR="002953FB" w:rsidRPr="002953FB">
        <w:rPr>
          <w:sz w:val="22"/>
          <w:szCs w:val="22"/>
        </w:rPr>
        <w:t>será más fuerte y las donaciones pueden aumentar o están recibiendo</w:t>
      </w:r>
      <w:r w:rsidR="002953FB">
        <w:rPr>
          <w:sz w:val="22"/>
          <w:szCs w:val="22"/>
        </w:rPr>
        <w:t xml:space="preserve"> </w:t>
      </w:r>
      <w:r w:rsidR="002953FB" w:rsidRPr="002953FB">
        <w:rPr>
          <w:sz w:val="22"/>
          <w:szCs w:val="22"/>
        </w:rPr>
        <w:t>más sostenible</w:t>
      </w:r>
      <w:r w:rsidR="002953FB">
        <w:rPr>
          <w:sz w:val="22"/>
          <w:szCs w:val="22"/>
        </w:rPr>
        <w:t>.</w:t>
      </w:r>
    </w:p>
    <w:p w:rsidR="002953FB" w:rsidRPr="005B44FE" w:rsidRDefault="002953FB" w:rsidP="002953FB">
      <w:pPr>
        <w:pStyle w:val="Textoindependiente2"/>
        <w:jc w:val="both"/>
        <w:rPr>
          <w:sz w:val="22"/>
          <w:szCs w:val="22"/>
        </w:rPr>
      </w:pPr>
      <w:r w:rsidRPr="002953FB">
        <w:rPr>
          <w:sz w:val="22"/>
          <w:szCs w:val="22"/>
        </w:rPr>
        <w:t>En ese sentido, la privacidad de la vida silvestre debe ser</w:t>
      </w:r>
      <w:r>
        <w:rPr>
          <w:sz w:val="22"/>
          <w:szCs w:val="22"/>
        </w:rPr>
        <w:t xml:space="preserve"> </w:t>
      </w:r>
      <w:r w:rsidRPr="002953FB">
        <w:rPr>
          <w:sz w:val="22"/>
          <w:szCs w:val="22"/>
        </w:rPr>
        <w:t>de una manera similar a la privacidad de los humanos. En consecuencia,</w:t>
      </w:r>
      <w:r>
        <w:rPr>
          <w:sz w:val="22"/>
          <w:szCs w:val="22"/>
        </w:rPr>
        <w:t xml:space="preserve"> </w:t>
      </w:r>
      <w:r w:rsidRPr="002953FB">
        <w:rPr>
          <w:sz w:val="22"/>
          <w:szCs w:val="22"/>
        </w:rPr>
        <w:t>este trabajo tiene por objeto es</w:t>
      </w:r>
      <w:r>
        <w:rPr>
          <w:sz w:val="22"/>
          <w:szCs w:val="22"/>
        </w:rPr>
        <w:t xml:space="preserve">timular el debate y contribuir </w:t>
      </w:r>
      <w:bookmarkStart w:id="0" w:name="_GoBack"/>
      <w:bookmarkEnd w:id="0"/>
      <w:r w:rsidRPr="002953FB">
        <w:rPr>
          <w:sz w:val="22"/>
          <w:szCs w:val="22"/>
        </w:rPr>
        <w:t>con una primera solución para preservar la privacidad de lo</w:t>
      </w:r>
      <w:r>
        <w:rPr>
          <w:sz w:val="22"/>
          <w:szCs w:val="22"/>
        </w:rPr>
        <w:t>s datos de la vida silvestre. E</w:t>
      </w:r>
      <w:r w:rsidRPr="002953FB">
        <w:rPr>
          <w:sz w:val="22"/>
          <w:szCs w:val="22"/>
        </w:rPr>
        <w:t>s segura, fácil de implementar y</w:t>
      </w:r>
      <w:r>
        <w:rPr>
          <w:sz w:val="22"/>
          <w:szCs w:val="22"/>
        </w:rPr>
        <w:t xml:space="preserve"> usar, escalable y de fácil uso </w:t>
      </w:r>
      <w:r w:rsidRPr="002953FB">
        <w:rPr>
          <w:sz w:val="22"/>
          <w:szCs w:val="22"/>
        </w:rPr>
        <w:t>permite nuevos modelos de monetización. En principio, nuestro sistema es</w:t>
      </w:r>
      <w:r>
        <w:rPr>
          <w:sz w:val="22"/>
          <w:szCs w:val="22"/>
        </w:rPr>
        <w:t xml:space="preserve"> </w:t>
      </w:r>
      <w:r w:rsidRPr="002953FB">
        <w:rPr>
          <w:sz w:val="22"/>
          <w:szCs w:val="22"/>
        </w:rPr>
        <w:t>aplicables en todos los casos en que se vayan a poner a disposición datos sensibles.</w:t>
      </w:r>
    </w:p>
    <w:p w:rsidR="007A28D9" w:rsidRPr="005B44FE" w:rsidRDefault="007A28D9" w:rsidP="00741913">
      <w:pPr>
        <w:pStyle w:val="Textoindependiente2"/>
        <w:jc w:val="both"/>
        <w:rPr>
          <w:sz w:val="22"/>
          <w:szCs w:val="22"/>
        </w:rPr>
      </w:pPr>
    </w:p>
    <w:p w:rsidR="00663001" w:rsidRPr="005B44FE" w:rsidRDefault="00663001" w:rsidP="00663001">
      <w:pPr>
        <w:pStyle w:val="Textoindependiente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Referencias bibliográficas referenciadas en el informe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B44FE">
        <w:rPr>
          <w:b/>
          <w:color w:val="538135" w:themeColor="accent6" w:themeShade="BF"/>
          <w:sz w:val="22"/>
          <w:szCs w:val="22"/>
        </w:rPr>
        <w:t>(0.5 página)</w:t>
      </w:r>
    </w:p>
    <w:p w:rsidR="00663001" w:rsidRDefault="00663001" w:rsidP="00663001">
      <w:pPr>
        <w:pStyle w:val="Textoindependiente2"/>
        <w:ind w:left="720"/>
        <w:jc w:val="both"/>
        <w:rPr>
          <w:sz w:val="22"/>
          <w:szCs w:val="22"/>
          <w:lang w:val="es-PE"/>
        </w:rPr>
      </w:pPr>
    </w:p>
    <w:p w:rsidR="00D56DF3" w:rsidRDefault="00D56DF3" w:rsidP="00D56DF3">
      <w:pPr>
        <w:pStyle w:val="Prrafodelista"/>
        <w:numPr>
          <w:ilvl w:val="0"/>
          <w:numId w:val="6"/>
        </w:numPr>
      </w:pPr>
      <w:r>
        <w:t xml:space="preserve">Thomas </w:t>
      </w:r>
      <w:proofErr w:type="spellStart"/>
      <w:r>
        <w:t>Hardjono</w:t>
      </w:r>
      <w:proofErr w:type="spellEnd"/>
      <w:r>
        <w:t xml:space="preserve">, David </w:t>
      </w:r>
      <w:proofErr w:type="spellStart"/>
      <w:r>
        <w:t>Shrier</w:t>
      </w:r>
      <w:proofErr w:type="spellEnd"/>
      <w:r>
        <w:t xml:space="preserve">, and Alex </w:t>
      </w:r>
      <w:proofErr w:type="spellStart"/>
      <w:r>
        <w:t>Pentland</w:t>
      </w:r>
      <w:proofErr w:type="spellEnd"/>
      <w:r>
        <w:t>. 2016. TRUST</w:t>
      </w:r>
      <w:proofErr w:type="gramStart"/>
      <w:r>
        <w:t>::DATA</w:t>
      </w:r>
      <w:proofErr w:type="gramEnd"/>
      <w:r>
        <w:t xml:space="preserve">: A New Framework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and Data </w:t>
      </w:r>
      <w:proofErr w:type="spellStart"/>
      <w:r>
        <w:t>Sharing</w:t>
      </w:r>
      <w:proofErr w:type="spellEnd"/>
      <w:r>
        <w:t xml:space="preserve">. </w:t>
      </w:r>
      <w:proofErr w:type="spellStart"/>
      <w:r>
        <w:t>Visionary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LLC.</w:t>
      </w:r>
    </w:p>
    <w:p w:rsidR="00D56DF3" w:rsidRDefault="00D56DF3" w:rsidP="009320C6">
      <w:pPr>
        <w:pStyle w:val="Prrafodelista"/>
      </w:pPr>
    </w:p>
    <w:p w:rsidR="00D56DF3" w:rsidRDefault="00D56DF3" w:rsidP="00D56DF3">
      <w:pPr>
        <w:pStyle w:val="Prrafodelista"/>
        <w:numPr>
          <w:ilvl w:val="0"/>
          <w:numId w:val="6"/>
        </w:numPr>
      </w:pPr>
      <w:proofErr w:type="spellStart"/>
      <w:r>
        <w:t>Soumitra</w:t>
      </w:r>
      <w:proofErr w:type="spellEnd"/>
      <w:r>
        <w:t xml:space="preserve"> </w:t>
      </w:r>
      <w:proofErr w:type="spellStart"/>
      <w:r>
        <w:t>Dutta</w:t>
      </w:r>
      <w:proofErr w:type="spellEnd"/>
      <w:r>
        <w:t xml:space="preserve">, ed., 2009. Global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2008-2009.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Forum</w:t>
      </w:r>
      <w:proofErr w:type="spellEnd"/>
      <w:r>
        <w:t>.</w:t>
      </w:r>
    </w:p>
    <w:p w:rsidR="00D56DF3" w:rsidRDefault="00D56DF3" w:rsidP="009320C6">
      <w:pPr>
        <w:pStyle w:val="Prrafodelista"/>
      </w:pPr>
    </w:p>
    <w:p w:rsidR="00D56DF3" w:rsidRDefault="00D56DF3" w:rsidP="00D56DF3">
      <w:pPr>
        <w:pStyle w:val="Prrafodelista"/>
        <w:numPr>
          <w:ilvl w:val="0"/>
          <w:numId w:val="6"/>
        </w:numPr>
      </w:pPr>
      <w:proofErr w:type="spellStart"/>
      <w:r>
        <w:t>Simon</w:t>
      </w:r>
      <w:proofErr w:type="spellEnd"/>
      <w:r>
        <w:t xml:space="preserve"> </w:t>
      </w:r>
      <w:proofErr w:type="spellStart"/>
      <w:r>
        <w:t>Capt</w:t>
      </w:r>
      <w:proofErr w:type="spellEnd"/>
      <w:r>
        <w:t xml:space="preserve">. 2007. </w:t>
      </w:r>
      <w:proofErr w:type="spellStart"/>
      <w:r>
        <w:t>Monitoring</w:t>
      </w:r>
      <w:proofErr w:type="spellEnd"/>
      <w:r>
        <w:t xml:space="preserve"> and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lynx</w:t>
      </w:r>
      <w:proofErr w:type="spellEnd"/>
      <w:r>
        <w:t xml:space="preserve"> Lynx </w:t>
      </w:r>
      <w:proofErr w:type="spellStart"/>
      <w:r>
        <w:t>lynx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Swiss</w:t>
      </w:r>
      <w:proofErr w:type="spellEnd"/>
      <w:r>
        <w:t xml:space="preserve"> Jura </w:t>
      </w:r>
      <w:proofErr w:type="spellStart"/>
      <w:r>
        <w:t>Mountains</w:t>
      </w:r>
      <w:proofErr w:type="spellEnd"/>
      <w:r>
        <w:t xml:space="preserve">. </w:t>
      </w:r>
      <w:proofErr w:type="spellStart"/>
      <w:r>
        <w:t>Wildlife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, 13(4), pp.356-364. </w:t>
      </w:r>
    </w:p>
    <w:p w:rsidR="00D56DF3" w:rsidRDefault="00D56DF3" w:rsidP="009320C6">
      <w:pPr>
        <w:pStyle w:val="Prrafodelista"/>
      </w:pPr>
    </w:p>
    <w:p w:rsidR="00C45BD8" w:rsidRDefault="00D56DF3" w:rsidP="00D56DF3">
      <w:pPr>
        <w:pStyle w:val="Prrafodelista"/>
        <w:numPr>
          <w:ilvl w:val="0"/>
          <w:numId w:val="6"/>
        </w:numPr>
      </w:pPr>
      <w:r>
        <w:t xml:space="preserve">Carlos Carroll, Reed F. </w:t>
      </w:r>
      <w:proofErr w:type="spellStart"/>
      <w:r>
        <w:t>Noss</w:t>
      </w:r>
      <w:proofErr w:type="spellEnd"/>
      <w:r>
        <w:t xml:space="preserve">, Paul C. </w:t>
      </w:r>
      <w:proofErr w:type="spellStart"/>
      <w:r>
        <w:t>Paquet</w:t>
      </w:r>
      <w:proofErr w:type="spellEnd"/>
      <w:r>
        <w:t xml:space="preserve">, and </w:t>
      </w:r>
      <w:proofErr w:type="spellStart"/>
      <w:r>
        <w:t>Nathan</w:t>
      </w:r>
      <w:proofErr w:type="spellEnd"/>
      <w:r>
        <w:t xml:space="preserve"> H. </w:t>
      </w:r>
      <w:proofErr w:type="spellStart"/>
      <w:r>
        <w:t>Schumaker</w:t>
      </w:r>
      <w:proofErr w:type="spellEnd"/>
      <w:r>
        <w:t xml:space="preserve">. 2003. Use of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viability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reserve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in regional </w:t>
      </w:r>
      <w:proofErr w:type="spellStart"/>
      <w:r>
        <w:t>conservation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.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, 13(6), pp.1773-1789</w:t>
      </w:r>
    </w:p>
    <w:p w:rsidR="00D56DF3" w:rsidRDefault="00D56DF3" w:rsidP="009320C6">
      <w:pPr>
        <w:pStyle w:val="Prrafodelista"/>
      </w:pPr>
    </w:p>
    <w:sectPr w:rsidR="00D56DF3" w:rsidSect="007619DA">
      <w:pgSz w:w="11906" w:h="16838" w:code="9"/>
      <w:pgMar w:top="1418" w:right="1701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0E46"/>
    <w:multiLevelType w:val="hybridMultilevel"/>
    <w:tmpl w:val="7E8648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183"/>
    <w:multiLevelType w:val="hybridMultilevel"/>
    <w:tmpl w:val="AFB2F566"/>
    <w:lvl w:ilvl="0" w:tplc="78B2B6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F7FAE"/>
    <w:multiLevelType w:val="hybridMultilevel"/>
    <w:tmpl w:val="F1FE4D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87E49"/>
    <w:multiLevelType w:val="hybridMultilevel"/>
    <w:tmpl w:val="FD764A0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0073F2"/>
    <w:multiLevelType w:val="hybridMultilevel"/>
    <w:tmpl w:val="A21C7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25A5B"/>
    <w:multiLevelType w:val="hybridMultilevel"/>
    <w:tmpl w:val="85EC339E"/>
    <w:lvl w:ilvl="0" w:tplc="9B489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01"/>
    <w:rsid w:val="00092CD3"/>
    <w:rsid w:val="0022005A"/>
    <w:rsid w:val="002953FB"/>
    <w:rsid w:val="004E63D2"/>
    <w:rsid w:val="00502397"/>
    <w:rsid w:val="005F3C07"/>
    <w:rsid w:val="00663001"/>
    <w:rsid w:val="0067452B"/>
    <w:rsid w:val="006E77A0"/>
    <w:rsid w:val="006F3518"/>
    <w:rsid w:val="00741913"/>
    <w:rsid w:val="007A28D9"/>
    <w:rsid w:val="009320C6"/>
    <w:rsid w:val="009D698C"/>
    <w:rsid w:val="00BB313E"/>
    <w:rsid w:val="00C45BD8"/>
    <w:rsid w:val="00D06872"/>
    <w:rsid w:val="00D3740E"/>
    <w:rsid w:val="00D56DF3"/>
    <w:rsid w:val="00E945D2"/>
    <w:rsid w:val="00FB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59936-EAE9-4F89-BD47-0BA1A91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0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663001"/>
    <w:pPr>
      <w:keepNext/>
      <w:jc w:val="center"/>
      <w:outlineLvl w:val="1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63001"/>
    <w:rPr>
      <w:rFonts w:ascii="Arial" w:eastAsia="Times New Roman" w:hAnsi="Arial" w:cs="Times New Roman"/>
      <w:b/>
      <w:sz w:val="28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663001"/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66300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200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32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Terrones</dc:creator>
  <cp:keywords/>
  <dc:description/>
  <cp:lastModifiedBy>Renzo Terrones</cp:lastModifiedBy>
  <cp:revision>4</cp:revision>
  <dcterms:created xsi:type="dcterms:W3CDTF">2018-09-19T22:16:00Z</dcterms:created>
  <dcterms:modified xsi:type="dcterms:W3CDTF">2018-09-20T21:11:00Z</dcterms:modified>
</cp:coreProperties>
</file>