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80"/>
        </w:rPr>
        <w:br/>
        <w:br/>
        <w:br/>
        <w:t>Sami</w:t>
      </w:r>
    </w:p>
    <w:p>
      <w:pPr>
        <w:jc w:val="center"/>
      </w:pPr>
      <w:r>
        <w:rPr>
          <w:i/>
          <w:color w:val="5A5A5A"/>
          <w:sz w:val="32"/>
        </w:rPr>
        <w:t>Fuentes científicas y normativas</w:t>
      </w:r>
    </w:p>
    <w:p>
      <w:pPr>
        <w:jc w:val="center"/>
      </w:pPr>
      <w:r>
        <w:rPr>
          <w:color w:val="0A0A0A"/>
          <w:sz w:val="22"/>
        </w:rPr>
        <w:br/>
        <w:br/>
        <w:t>Respaldo bibliográfico de cada dato, escala, regla y decisión clínica del sistema.</w:t>
        <w:br/>
        <w:t>Formato APA 7.</w:t>
        <w:br/>
        <w:br/>
        <w:t>Universidad Peruana de Ciencias Aplicadas — UPC</w:t>
      </w:r>
    </w:p>
    <w:p>
      <w:r>
        <w:br w:type="page"/>
      </w:r>
    </w:p>
    <w:p>
      <w:pPr>
        <w:pStyle w:val="Heading1"/>
      </w:pPr>
      <w:r>
        <w:rPr>
          <w:color w:val="059669"/>
          <w:sz w:val="40"/>
        </w:rPr>
        <w:t>Introducción</w:t>
      </w:r>
    </w:p>
    <w:p>
      <w:r>
        <w:rPr>
          <w:sz w:val="22"/>
        </w:rPr>
        <w:t>Este documento reúne todas las fuentes que sostienen cada afirmación clínica, técnica y normativa del sistema Sami. No se ha utilizado contenido enciclopédico de divulgación abierta (Wikipedia, blogs no revisados) como respaldo de ninguna decisión. Las fuentes citadas son: (a) artículos en revistas indexadas con revisión por pares; (b) manuales clínicos oficiales (DSM-5 de la APA); (c) normativa peruana publicada en el Diario Oficial El Peruano; y (d) recursos institucionales del MINSA y MINEDU.</w:t>
      </w:r>
    </w:p>
    <w:p>
      <w:r>
        <w:rPr>
          <w:sz w:val="22"/>
        </w:rPr>
        <w:t>Cada fuente está acompañada de una línea que indica exactamente qué parte del sistema o del documento de defensa la utiliza, para que el lector pueda trazar la procedencia de cada dato.</w:t>
      </w:r>
    </w:p>
    <w:p>
      <w:pPr>
        <w:pStyle w:val="Heading1"/>
      </w:pPr>
      <w:r>
        <w:rPr>
          <w:color w:val="059669"/>
          <w:sz w:val="40"/>
        </w:rPr>
        <w:t>1. PHQ-A y PHQ-9 — Escala de depresión</w:t>
      </w:r>
    </w:p>
    <w:p>
      <w:pPr>
        <w:pStyle w:val="Heading3"/>
      </w:pPr>
      <w:r>
        <w:rPr>
          <w:color w:val="0A0A0A"/>
          <w:sz w:val="24"/>
        </w:rPr>
        <w:t>1.1 Validación original del PHQ-9</w:t>
      </w:r>
    </w:p>
    <w:p>
      <w:pPr>
        <w:spacing w:after="120"/>
        <w:ind w:left="567" w:hanging="567"/>
      </w:pPr>
      <w:r>
        <w:rPr>
          <w:sz w:val="22"/>
        </w:rPr>
        <w:t>Kroenke, K., Spitzer, R. L., &amp; Williams, J. B. W. (2001). The PHQ-9: Validity of a brief depression severity measure. Journal of General Internal Medicine, 16(9), 606–613. https://doi.org/10.1046/j.1525-1497.2001.016009606.x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Cuestionario base de 9 ítems para depresión. Es la fuente primaria del PHQ-9. Define los 9 ítems, las 4 opciones de respuesta (0–3) y el rango total 0–27.</w:t>
      </w:r>
    </w:p>
    <w:p>
      <w:pPr>
        <w:pStyle w:val="Heading3"/>
      </w:pPr>
      <w:r>
        <w:rPr>
          <w:color w:val="0A0A0A"/>
          <w:sz w:val="24"/>
        </w:rPr>
        <w:t>1.2 Puntos de corte de severidad del PHQ-9</w:t>
      </w:r>
    </w:p>
    <w:p>
      <w:pPr>
        <w:spacing w:after="120"/>
        <w:ind w:left="567" w:hanging="567"/>
      </w:pPr>
      <w:r>
        <w:rPr>
          <w:sz w:val="22"/>
        </w:rPr>
        <w:t>Kroenke, K., &amp; Spitzer, R. L. (2002). The PHQ-9: A new depression diagnostic and severity measure. Psychiatric Annals, 32(9), 509–515. https://doi.org/10.3928/0048-5713-20020901-06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Tabla de severidad usada en `app/config.py` y mostrada al psicólogo en `StudentHistoryView`: Mínima (0–4), Leve (5–9), Moderada (10–14), Moderada-severa (15–19), Severa (20–27).</w:t>
      </w:r>
    </w:p>
    <w:p>
      <w:pPr>
        <w:pStyle w:val="Heading3"/>
      </w:pPr>
      <w:r>
        <w:rPr>
          <w:color w:val="0A0A0A"/>
          <w:sz w:val="24"/>
        </w:rPr>
        <w:t>1.3 PHQ-A — Validación en adolescentes</w:t>
      </w:r>
    </w:p>
    <w:p>
      <w:pPr>
        <w:spacing w:after="120"/>
        <w:ind w:left="567" w:hanging="567"/>
      </w:pPr>
      <w:r>
        <w:rPr>
          <w:sz w:val="22"/>
        </w:rPr>
        <w:t>Johnson, J. G., Harris, E. S., Spitzer, R. L., &amp; Williams, J. B. W. (2002). The Patient Health Questionnaire for Adolescents: Validation of an instrument for the assessment of mental disorders among adolescent primary care patients. Journal of Adolescent Health, 30(3), 196–204. https://doi.org/10.1016/S1054-139X(01)00333-0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Fuente clave del proyecto. De aquí provienen las 4 frases oficiales (Nunca / Algunos días / Más de la mitad de los días / Casi todos los días) cuya traducción literal es la base de la tabla días→puntos del ciclo de 14 días. Implementada en `app/services/diario_analisis_service.py` función `_dias_a_puntos`. También en el documento del asesor Sección 9 y Apéndice de tablas.</w:t>
      </w:r>
    </w:p>
    <w:p>
      <w:pPr>
        <w:pStyle w:val="Heading3"/>
      </w:pPr>
      <w:r>
        <w:rPr>
          <w:color w:val="0A0A0A"/>
          <w:sz w:val="24"/>
        </w:rPr>
        <w:t>1.4 Validación peruana del PHQ-9</w:t>
      </w:r>
    </w:p>
    <w:p>
      <w:pPr>
        <w:spacing w:after="120"/>
        <w:ind w:left="567" w:hanging="567"/>
      </w:pPr>
      <w:r>
        <w:rPr>
          <w:sz w:val="22"/>
        </w:rPr>
        <w:t>Calderón, M., Gálvez-Buccollini, J. A., Cueva, G., Ordoñez, C., Bromley, C., &amp; Fiestas, F. (2012). Validación de la versión peruana del PHQ-9 para el diagnóstico de depresión. Revista Peruana de Medicina Experimental y Salud Pública, 29(4), 578–579.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Respalda el uso del PHQ-9 en población peruana. Necesario para defender la aplicabilidad de la escala en el contexto local del colegio.</w:t>
      </w:r>
    </w:p>
    <w:p>
      <w:pPr>
        <w:spacing w:after="120"/>
        <w:ind w:left="567" w:hanging="567"/>
      </w:pPr>
      <w:r>
        <w:rPr>
          <w:sz w:val="22"/>
        </w:rPr>
        <w:t>Saravia, J. C., Iberico, C., &amp; Yearwood, K. (2014). Validación del cuestionario de salud del paciente-9 (PHQ-9) para detectar trastornos depresivos en estudiantes universitarios peruanos. Revista de Psicología (PUCP), 32(2), 254–272.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Validación específica en estudiantes peruanos. Aporte directo para defender la aplicación en una población escolar/joven en Perú.</w:t>
      </w:r>
    </w:p>
    <w:p>
      <w:pPr>
        <w:pStyle w:val="Heading1"/>
      </w:pPr>
      <w:r>
        <w:rPr>
          <w:color w:val="059669"/>
          <w:sz w:val="40"/>
        </w:rPr>
        <w:t>2. GAD-7 — Escala de ansiedad</w:t>
      </w:r>
    </w:p>
    <w:p>
      <w:pPr>
        <w:pStyle w:val="Heading3"/>
      </w:pPr>
      <w:r>
        <w:rPr>
          <w:color w:val="0A0A0A"/>
          <w:sz w:val="24"/>
        </w:rPr>
        <w:t>2.1 Validación original del GAD-7</w:t>
      </w:r>
    </w:p>
    <w:p>
      <w:pPr>
        <w:spacing w:after="120"/>
        <w:ind w:left="567" w:hanging="567"/>
      </w:pPr>
      <w:r>
        <w:rPr>
          <w:sz w:val="22"/>
        </w:rPr>
        <w:t>Spitzer, R. L., Kroenke, K., Williams, J. B. W., &amp; Löwe, B. (2006). A brief measure for assessing generalized anxiety disorder: The GAD-7. Archives of Internal Medicine, 166(10), 1092–1097. https://doi.org/10.1001/archinte.166.10.1092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Fuente primaria del GAD-7. Define los 7 ítems, las 4 opciones Likert y los puntos de corte de severidad (Mínima 0–4, Leve 5–9, Moderada 10–14, Severa 15–21) que el sistema aplica al cierre de cada ciclo. Implementado en `app/config.py: GAD7_SEVERIDAD`.</w:t>
      </w:r>
    </w:p>
    <w:p>
      <w:pPr>
        <w:pStyle w:val="Heading3"/>
      </w:pPr>
      <w:r>
        <w:rPr>
          <w:color w:val="0A0A0A"/>
          <w:sz w:val="24"/>
        </w:rPr>
        <w:t>2.2 Estandarización en población general</w:t>
      </w:r>
    </w:p>
    <w:p>
      <w:pPr>
        <w:spacing w:after="120"/>
        <w:ind w:left="567" w:hanging="567"/>
      </w:pPr>
      <w:r>
        <w:rPr>
          <w:sz w:val="22"/>
        </w:rPr>
        <w:t>Löwe, B., Decker, O., Müller, S., Brähler, E., Schellberg, D., Herzog, W., &amp; Herzberg, P. Y. (2008). Validation and standardization of the Generalized Anxiety Disorder Screener (GAD-7) in the general population. Medical Care, 46(3), 266–274. https://doi.org/10.1097/MLR.0b013e318160d093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Respalda el uso del GAD-7 fuera de atención primaria, incluyendo poblaciones generales y estudios comunitarios.</w:t>
      </w:r>
    </w:p>
    <w:p>
      <w:pPr>
        <w:pStyle w:val="Heading3"/>
      </w:pPr>
      <w:r>
        <w:rPr>
          <w:color w:val="0A0A0A"/>
          <w:sz w:val="24"/>
        </w:rPr>
        <w:t>2.3 Versión en español</w:t>
      </w:r>
    </w:p>
    <w:p>
      <w:pPr>
        <w:spacing w:after="120"/>
        <w:ind w:left="567" w:hanging="567"/>
      </w:pPr>
      <w:r>
        <w:rPr>
          <w:sz w:val="22"/>
        </w:rPr>
        <w:t>García-Campayo, J., Zamorano, E., Ruiz, M. A., Pardo, A., Pérez-Páramo, M., López-Gómez, V., Freire, O., &amp; Rejas, J. (2010). Cultural adaptation into Spanish of the generalized anxiety disorder-7 (GAD-7) scale as a screening tool. Health and Quality of Life Outcomes, 8, 8. https://doi.org/10.1186/1477-7525-8-8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Versión en español culturalmente adaptada del GAD-7. Base de la formulación de los 7 ítems en español usada en Sami (ver `PHQ9_ITEMS` y `GAD7_ITEMS` en `app/config.py`).</w:t>
      </w:r>
    </w:p>
    <w:p>
      <w:pPr>
        <w:pStyle w:val="Heading1"/>
      </w:pPr>
      <w:r>
        <w:rPr>
          <w:color w:val="059669"/>
          <w:sz w:val="40"/>
        </w:rPr>
        <w:t>3. DSM-5 — Manual diagnóstico</w:t>
      </w:r>
    </w:p>
    <w:p>
      <w:pPr>
        <w:pStyle w:val="Heading3"/>
      </w:pPr>
      <w:r>
        <w:rPr>
          <w:color w:val="0A0A0A"/>
          <w:sz w:val="24"/>
        </w:rPr>
        <w:t>3.1 Manual oficial</w:t>
      </w:r>
    </w:p>
    <w:p>
      <w:pPr>
        <w:spacing w:after="120"/>
        <w:ind w:left="567" w:hanging="567"/>
      </w:pPr>
      <w:r>
        <w:rPr>
          <w:sz w:val="22"/>
        </w:rPr>
        <w:t>American Psychiatric Association. (2013). Diagnostic and Statistical Manual of Mental Disorders (5th ed.). American Psychiatric Publishing. https://doi.org/10.1176/appi.books.9780890425596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Fuente oficial de TODOS los criterios diagnósticos citados en el sistema. Los 9 ítems del PHQ-A están etiquetados con su criterio DSM-5 (campo `criterio_dsm5` en `app/config.py`). Las reglas de 'posible riesgo de Episodio Depresivo Mayor' y 'posible riesgo de Trastorno de Ansiedad Generalizada' usan los umbrales mínimos definidos aquí.</w:t>
      </w:r>
    </w:p>
    <w:p>
      <w:pPr>
        <w:pStyle w:val="Heading3"/>
      </w:pPr>
      <w:r>
        <w:rPr>
          <w:color w:val="0A0A0A"/>
          <w:sz w:val="24"/>
        </w:rPr>
        <w:t>3.2 Edición revisada (DSM-5-TR)</w:t>
      </w:r>
    </w:p>
    <w:p>
      <w:pPr>
        <w:spacing w:after="120"/>
        <w:ind w:left="567" w:hanging="567"/>
      </w:pPr>
      <w:r>
        <w:rPr>
          <w:sz w:val="22"/>
        </w:rPr>
        <w:t>American Psychiatric Association. (2022). Diagnostic and Statistical Manual of Mental Disorders, Text Revision (DSM-5-TR). American Psychiatric Publishing. https://doi.org/10.1176/appi.books.9780890425787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Edición vigente que mantiene los criterios usados en Sami para Episodio Depresivo Mayor (criterios A1–A9, requiere ≥5 síntomas durante 2 semanas con al menos ánimo deprimido o anhedonia) y Trastorno de Ansiedad Generalizada (ansiedad y preocupación excesivas con dificultad de control + ≥3 síntomas asociados).</w:t>
      </w:r>
    </w:p>
    <w:p>
      <w:pPr>
        <w:pStyle w:val="Heading3"/>
      </w:pPr>
      <w:r>
        <w:rPr>
          <w:color w:val="0A0A0A"/>
          <w:sz w:val="24"/>
        </w:rPr>
        <w:t>3.3 Criterios específicos de Episodio Depresivo Mayor</w:t>
      </w:r>
    </w:p>
    <w:p>
      <w:r>
        <w:rPr>
          <w:i/>
          <w:sz w:val="22"/>
        </w:rPr>
        <w:t>Páginas 160-161 del DSM-5 (Sección II — Trastornos depresivos):</w:t>
      </w:r>
    </w:p>
    <w:p>
      <w:pPr>
        <w:pStyle w:val="ListBullet"/>
      </w:pPr>
      <w:r>
        <w:rPr>
          <w:sz w:val="22"/>
        </w:rPr>
        <w:t>A1: Estado de ánimo deprimido la mayor parte del día, casi todos los días.</w:t>
      </w:r>
    </w:p>
    <w:p>
      <w:pPr>
        <w:pStyle w:val="ListBullet"/>
      </w:pPr>
      <w:r>
        <w:rPr>
          <w:sz w:val="22"/>
        </w:rPr>
        <w:t>A2: Pérdida de interés o placer (anhedonia).</w:t>
      </w:r>
    </w:p>
    <w:p>
      <w:pPr>
        <w:pStyle w:val="ListBullet"/>
      </w:pPr>
      <w:r>
        <w:rPr>
          <w:sz w:val="22"/>
        </w:rPr>
        <w:t>A3: Cambio significativo de peso o apetito.</w:t>
      </w:r>
    </w:p>
    <w:p>
      <w:pPr>
        <w:pStyle w:val="ListBullet"/>
      </w:pPr>
      <w:r>
        <w:rPr>
          <w:sz w:val="22"/>
        </w:rPr>
        <w:t>A4: Insomnio o hipersomnia.</w:t>
      </w:r>
    </w:p>
    <w:p>
      <w:pPr>
        <w:pStyle w:val="ListBullet"/>
      </w:pPr>
      <w:r>
        <w:rPr>
          <w:sz w:val="22"/>
        </w:rPr>
        <w:t>A5: Agitación o enlentecimiento psicomotor observables.</w:t>
      </w:r>
    </w:p>
    <w:p>
      <w:pPr>
        <w:pStyle w:val="ListBullet"/>
      </w:pPr>
      <w:r>
        <w:rPr>
          <w:sz w:val="22"/>
        </w:rPr>
        <w:t>A6: Fatiga o pérdida de energía.</w:t>
      </w:r>
    </w:p>
    <w:p>
      <w:pPr>
        <w:pStyle w:val="ListBullet"/>
      </w:pPr>
      <w:r>
        <w:rPr>
          <w:sz w:val="22"/>
        </w:rPr>
        <w:t>A7: Sentimientos de inutilidad o culpa excesiva.</w:t>
      </w:r>
    </w:p>
    <w:p>
      <w:pPr>
        <w:pStyle w:val="ListBullet"/>
      </w:pPr>
      <w:r>
        <w:rPr>
          <w:sz w:val="22"/>
        </w:rPr>
        <w:t>A8: Dificultad para concentrarse o indecisión.</w:t>
      </w:r>
    </w:p>
    <w:p>
      <w:pPr>
        <w:pStyle w:val="ListBullet"/>
      </w:pPr>
      <w:r>
        <w:rPr>
          <w:sz w:val="22"/>
        </w:rPr>
        <w:t>A9: Pensamientos recurrentes de muerte o ideación suicida.</w:t>
      </w:r>
    </w:p>
    <w:p>
      <w:r>
        <w:rPr>
          <w:sz w:val="22"/>
        </w:rPr>
        <w:t>Umbral mínimo para sospecha clínica: ≥5 síntomas durante un período de 2 semanas, al menos uno debe ser A1 o A2.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Estos 9 criterios están mapeados 1:1 a los 9 ítems del PHQ-A en el sistema. La función `_evaluar_criterios_dsm5` en `app/services/diario_analisis_service.py` aplica exactamente este umbral.</w:t>
      </w:r>
    </w:p>
    <w:p>
      <w:pPr>
        <w:pStyle w:val="Heading3"/>
      </w:pPr>
      <w:r>
        <w:rPr>
          <w:color w:val="0A0A0A"/>
          <w:sz w:val="24"/>
        </w:rPr>
        <w:t>3.4 Criterios específicos de Trastorno de Ansiedad Generalizada</w:t>
      </w:r>
    </w:p>
    <w:p>
      <w:r>
        <w:rPr>
          <w:i/>
          <w:sz w:val="22"/>
        </w:rPr>
        <w:t>Páginas 222 del DSM-5 (Sección II — Trastornos de ansiedad):</w:t>
      </w:r>
    </w:p>
    <w:p>
      <w:pPr>
        <w:pStyle w:val="ListBullet"/>
      </w:pPr>
      <w:r>
        <w:rPr>
          <w:sz w:val="22"/>
        </w:rPr>
        <w:t>A: Ansiedad y preocupación excesivas la mayor parte de los días durante al menos 6 meses.</w:t>
      </w:r>
    </w:p>
    <w:p>
      <w:pPr>
        <w:pStyle w:val="ListBullet"/>
      </w:pPr>
      <w:r>
        <w:rPr>
          <w:sz w:val="22"/>
        </w:rPr>
        <w:t>B: La persona tiene dificultad para controlar la preocupación.</w:t>
      </w:r>
    </w:p>
    <w:p>
      <w:pPr>
        <w:pStyle w:val="ListBullet"/>
      </w:pPr>
      <w:r>
        <w:rPr>
          <w:sz w:val="22"/>
        </w:rPr>
        <w:t>C: Al menos 3 síntomas asociados de los 6 listados: inquietud, fatigabilidad, dificultad para concentrarse, irritabilidad, tensión muscular, alteraciones del sueño.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Implementado en la regla de TAG del sistema: requiere GAD-7 ítem 1 (ansiedad) + ítem 2 (descontrol de preocupación) cumplidos, más ≥3 ítems totales del GAD-7 con puntaje ≥2.</w:t>
      </w:r>
    </w:p>
    <w:p>
      <w:pPr>
        <w:pStyle w:val="Heading1"/>
      </w:pPr>
      <w:r>
        <w:rPr>
          <w:color w:val="059669"/>
          <w:sz w:val="40"/>
        </w:rPr>
        <w:t>4. Escalas complementarias</w:t>
      </w:r>
    </w:p>
    <w:p>
      <w:pPr>
        <w:pStyle w:val="Heading3"/>
      </w:pPr>
      <w:r>
        <w:rPr>
          <w:color w:val="0A0A0A"/>
          <w:sz w:val="24"/>
        </w:rPr>
        <w:t>4.1 C-SSRS — Columbia Suicide Severity Rating Scale</w:t>
      </w:r>
    </w:p>
    <w:p>
      <w:pPr>
        <w:spacing w:after="120"/>
        <w:ind w:left="567" w:hanging="567"/>
      </w:pPr>
      <w:r>
        <w:rPr>
          <w:sz w:val="22"/>
        </w:rPr>
        <w:t>Posner, K., Brown, G. K., Stanley, B., Brent, D. A., Yershova, K. V., Oquendo, M. A., Currier, G. W., Melvin, G. A., Greenhill, L., Shen, S., &amp; Mann, J. J. (2011). The Columbia–Suicide Severity Rating Scale: Initial validity and internal consistency findings from three multisite studies with adolescents and adults. American Journal of Psychiatry, 168(12), 1266–1277. https://doi.org/10.1176/appi.ajp.2011.10111704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Referencia del estándar internacional para evaluación de riesgo suicida. El umbral más sensible (40%) del modelo BERT para 'riesgo_suicida' en `app/config.py` se justifica con esta escala: en clínica de adolescentes se prefiere alta sensibilidad sobre alta especificidad. También respalda el criterio del PHQ-A ítem 9 que dispara protocolo de crisis inmediato.</w:t>
      </w:r>
    </w:p>
    <w:p>
      <w:pPr>
        <w:pStyle w:val="Heading3"/>
      </w:pPr>
      <w:r>
        <w:rPr>
          <w:color w:val="0A0A0A"/>
          <w:sz w:val="24"/>
        </w:rPr>
        <w:t>4.2 ASRS v1.1 — Adult ADHD Self-Report Scale (OMS)</w:t>
      </w:r>
    </w:p>
    <w:p>
      <w:pPr>
        <w:spacing w:after="120"/>
        <w:ind w:left="567" w:hanging="567"/>
      </w:pPr>
      <w:r>
        <w:rPr>
          <w:sz w:val="22"/>
        </w:rPr>
        <w:t>Kessler, R. C., Adler, L., Ames, M., Demler, O., Faraone, S., Hiripi, E., Howes, M. J., Jin, R., Secnik, K., Spencer, T., Ustun, T. B., &amp; Walters, E. E. (2005). The World Health Organization Adult ADHD Self-Report Scale (ASRS): A short screening scale for use in the general population. Psychological Medicine, 35(2), 245–256. https://doi.org/10.1017/S0033291704002892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Base teórica de la categoría 'tdah' en `CONDICIONES` del modelo BERT. Aunque la categoría está disponible en el monitoreo, las reglas DSM-5 implementadas se limitan a EDM y TAG.</w:t>
      </w:r>
    </w:p>
    <w:p>
      <w:pPr>
        <w:pStyle w:val="Heading3"/>
      </w:pPr>
      <w:r>
        <w:rPr>
          <w:color w:val="0A0A0A"/>
          <w:sz w:val="24"/>
        </w:rPr>
        <w:t>4.3 UCLA-3 — Escala breve de soledad</w:t>
      </w:r>
    </w:p>
    <w:p>
      <w:pPr>
        <w:spacing w:after="120"/>
        <w:ind w:left="567" w:hanging="567"/>
      </w:pPr>
      <w:r>
        <w:rPr>
          <w:sz w:val="22"/>
        </w:rPr>
        <w:t>Hughes, M. E., Waite, L. J., Hawkley, L. C., &amp; Cacioppo, J. T. (2004). A short scale for measuring loneliness in large surveys: Results from two population-based studies. Research on Aging, 26(6), 655–672. https://doi.org/10.1177/0164027504268574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Base de la categoría 'soledad' del sistema. Aplicable al contexto adolescente, validado internacionalmente.</w:t>
      </w:r>
    </w:p>
    <w:p>
      <w:pPr>
        <w:pStyle w:val="Heading1"/>
      </w:pPr>
      <w:r>
        <w:rPr>
          <w:color w:val="059669"/>
          <w:sz w:val="40"/>
        </w:rPr>
        <w:t>5. Modelo de procesamiento de lenguaje natural</w:t>
      </w:r>
    </w:p>
    <w:p>
      <w:pPr>
        <w:pStyle w:val="Heading3"/>
      </w:pPr>
      <w:r>
        <w:rPr>
          <w:color w:val="0A0A0A"/>
          <w:sz w:val="24"/>
        </w:rPr>
        <w:t>5.1 BERT — Modelo base</w:t>
      </w:r>
    </w:p>
    <w:p>
      <w:pPr>
        <w:spacing w:after="120"/>
        <w:ind w:left="567" w:hanging="567"/>
      </w:pPr>
      <w:r>
        <w:rPr>
          <w:sz w:val="22"/>
        </w:rPr>
        <w:t>Devlin, J., Chang, M.-W., Lee, K., &amp; Toutanova, K. (2019). BERT: Pre-training of deep bidirectional transformers for language understanding. In Proceedings of the 2019 Conference of the North American Chapter of the Association for Computational Linguistics: Human Language Technologies (NAACL-HLT), Vol. 1, pp. 4171–4186. https://doi.org/10.18653/v1/N19-1423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Arquitectura base del modelo usado en Sami. Publicación original de Google AI Research.</w:t>
      </w:r>
    </w:p>
    <w:p>
      <w:pPr>
        <w:pStyle w:val="Heading3"/>
      </w:pPr>
      <w:r>
        <w:rPr>
          <w:color w:val="0A0A0A"/>
          <w:sz w:val="24"/>
        </w:rPr>
        <w:t>5.2 BETO — BERT en español</w:t>
      </w:r>
    </w:p>
    <w:p>
      <w:pPr>
        <w:spacing w:after="120"/>
        <w:ind w:left="567" w:hanging="567"/>
      </w:pPr>
      <w:r>
        <w:rPr>
          <w:sz w:val="22"/>
        </w:rPr>
        <w:t>Cañete, J., Chaperon, G., Fuentes, R., Ho, J.-H., Kang, H., &amp; Pérez, J. (2020). Spanish pre-trained BERT model and evaluation data. In PML4DC at ICLR 2020 (Practical ML for Developing Countries Workshop). https://arxiv.org/abs/2308.02976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Fuente del modelo BERT entrenado en español. Universidad de Chile. Es la base del modelo que Sami usa.</w:t>
      </w:r>
    </w:p>
    <w:p>
      <w:pPr>
        <w:pStyle w:val="Heading3"/>
      </w:pPr>
      <w:r>
        <w:rPr>
          <w:color w:val="0A0A0A"/>
          <w:sz w:val="24"/>
        </w:rPr>
        <w:t>5.3 XNLI — Inferencia interlingüística</w:t>
      </w:r>
    </w:p>
    <w:p>
      <w:pPr>
        <w:spacing w:after="120"/>
        <w:ind w:left="567" w:hanging="567"/>
      </w:pPr>
      <w:r>
        <w:rPr>
          <w:sz w:val="22"/>
        </w:rPr>
        <w:t>Conneau, A., Lample, G., Rinott, R., Williams, A., Bowman, S. R., Schwenk, H., &amp; Stoyanov, V. (2018). XNLI: Evaluating cross-lingual sentence representations. In Proceedings of the 2018 Conference on Empirical Methods in Natural Language Processing (EMNLP), pp. 2475–2485. https://doi.org/10.18653/v1/D18-1269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Base teórica del fine-tuning XNLI que permite clasificación zero-shot en español.</w:t>
      </w:r>
    </w:p>
    <w:p>
      <w:pPr>
        <w:pStyle w:val="Heading3"/>
      </w:pPr>
      <w:r>
        <w:rPr>
          <w:color w:val="0A0A0A"/>
          <w:sz w:val="24"/>
        </w:rPr>
        <w:t>5.4 Zero-shot text classification por entailment</w:t>
      </w:r>
    </w:p>
    <w:p>
      <w:pPr>
        <w:spacing w:after="120"/>
        <w:ind w:left="567" w:hanging="567"/>
      </w:pPr>
      <w:r>
        <w:rPr>
          <w:sz w:val="22"/>
        </w:rPr>
        <w:t>Yin, W., Hay, J., &amp; Roth, D. (2019). Benchmarking zero-shot text classification: Datasets, evaluation and entailment approach. In Proceedings of the 2019 Conference on Empirical Methods in Natural Language Processing and the 9th International Joint Conference on Natural Language Processing (EMNLP-IJCNLP), pp. 3914–3923. https://doi.org/10.18653/v1/D19-1404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Sostiene metodológicamente el enfoque de hypothesis templating ("Este texto expresa {}.") implementado en `app/services/nlp_service.py`.</w:t>
      </w:r>
    </w:p>
    <w:p>
      <w:pPr>
        <w:pStyle w:val="Heading3"/>
      </w:pPr>
      <w:r>
        <w:rPr>
          <w:color w:val="0A0A0A"/>
          <w:sz w:val="24"/>
        </w:rPr>
        <w:t>5.5 Modelo específico utilizado</w:t>
      </w:r>
    </w:p>
    <w:p>
      <w:pPr>
        <w:spacing w:after="120"/>
        <w:ind w:left="567" w:hanging="567"/>
      </w:pPr>
      <w:r>
        <w:rPr>
          <w:sz w:val="22"/>
        </w:rPr>
        <w:t>Recognai. (2020). bert-base-spanish-wwm-cased-xnli [Model card]. Hugging Face. https://huggingface.co/Recognai/bert-base-spanish-wwm-cased-xnli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El identificador exacto del modelo descargado por Sami (`MODEL_NAME` en `app/config.py`). Combina BETO (Cañete et al., 2020) con fine-tuning en XNLI español.</w:t>
      </w:r>
    </w:p>
    <w:p>
      <w:pPr>
        <w:pStyle w:val="Heading1"/>
      </w:pPr>
      <w:r>
        <w:rPr>
          <w:color w:val="059669"/>
          <w:sz w:val="40"/>
        </w:rPr>
        <w:t>6. Normativa peruana y consentimiento informado</w:t>
      </w:r>
    </w:p>
    <w:p>
      <w:pPr>
        <w:pStyle w:val="Heading3"/>
      </w:pPr>
      <w:r>
        <w:rPr>
          <w:color w:val="0A0A0A"/>
          <w:sz w:val="24"/>
        </w:rPr>
        <w:t>6.1 Ley de Protección de Datos Personales</w:t>
      </w:r>
    </w:p>
    <w:p>
      <w:pPr>
        <w:spacing w:after="120"/>
        <w:ind w:left="567" w:hanging="567"/>
      </w:pPr>
      <w:r>
        <w:rPr>
          <w:sz w:val="22"/>
        </w:rPr>
        <w:t>Congreso de la República del Perú. (2011, 3 de julio). Ley N° 29733, Ley de Protección de Datos Personales. Diario Oficial El Peruano. https://www.minjus.gob.pe/wp-content/uploads/2013/04/LEY-29733.pdf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Marco legal del manejo de datos personales del alumno. Citado en `ConsentView.vue` y en el documento del asesor Sección 5 (consentimiento) y Sección 15 (protección de datos).</w:t>
      </w:r>
    </w:p>
    <w:p>
      <w:pPr>
        <w:pStyle w:val="Heading3"/>
      </w:pPr>
      <w:r>
        <w:rPr>
          <w:color w:val="0A0A0A"/>
          <w:sz w:val="24"/>
        </w:rPr>
        <w:t>6.2 Reglamento de la Ley 29733</w:t>
      </w:r>
    </w:p>
    <w:p>
      <w:pPr>
        <w:spacing w:after="120"/>
        <w:ind w:left="567" w:hanging="567"/>
      </w:pPr>
      <w:r>
        <w:rPr>
          <w:sz w:val="22"/>
        </w:rPr>
        <w:t>Ministerio de Justicia y Derechos Humanos del Perú. (2013, 22 de marzo). Decreto Supremo N° 003-2013-JUS, Reglamento de la Ley N° 29733 de Protección de Datos Personales. Diario Oficial El Peruano.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Detalla principios operativos que el sistema cumple: consentimiento informado, finalidad específica, minimización, calidad, seguridad, disposición de datos, derecho de acceso, rectificación y cancelación.</w:t>
      </w:r>
    </w:p>
    <w:p>
      <w:pPr>
        <w:pStyle w:val="Heading3"/>
      </w:pPr>
      <w:r>
        <w:rPr>
          <w:color w:val="0A0A0A"/>
          <w:sz w:val="24"/>
        </w:rPr>
        <w:t>6.3 Lineamientos del MINEDU sobre bienestar socioemocional</w:t>
      </w:r>
    </w:p>
    <w:p>
      <w:pPr>
        <w:spacing w:after="120"/>
        <w:ind w:left="567" w:hanging="567"/>
      </w:pPr>
      <w:r>
        <w:rPr>
          <w:sz w:val="22"/>
        </w:rPr>
        <w:t>Ministerio de Educación del Perú. (2020). Resolución Viceministerial N° 212-2020-MINEDU. Lineamientos para la Gestión del Bienestar Socioemocional en las Instituciones Educativas. Lima: MINEDU.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Respalda el rol del psicólogo escolar y la necesidad de un sistema de monitoreo socioemocional. Justifica la pertinencia del proyecto en el sistema educativo peruano.</w:t>
      </w:r>
    </w:p>
    <w:p>
      <w:pPr>
        <w:spacing w:after="120"/>
        <w:ind w:left="567" w:hanging="567"/>
      </w:pPr>
      <w:r>
        <w:rPr>
          <w:sz w:val="22"/>
        </w:rPr>
        <w:t>Ministerio de Educación del Perú. (2021). Cartilla de Orientación: Acompañamiento socioemocional para estudiantes. Dirección de Educación Secundaria. Lima: MINEDU.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Recursos oficiales para el tipo de acompañamiento al que el sistema apoya, no reemplaza.</w:t>
      </w:r>
    </w:p>
    <w:p>
      <w:pPr>
        <w:pStyle w:val="Heading3"/>
      </w:pPr>
      <w:r>
        <w:rPr>
          <w:color w:val="0A0A0A"/>
          <w:sz w:val="24"/>
        </w:rPr>
        <w:t>6.4 Consentimiento informado en adolescentes</w:t>
      </w:r>
    </w:p>
    <w:p>
      <w:pPr>
        <w:spacing w:after="120"/>
        <w:ind w:left="567" w:hanging="567"/>
      </w:pPr>
      <w:r>
        <w:rPr>
          <w:sz w:val="22"/>
        </w:rPr>
        <w:t>Consejo Nacional de Bioética del Perú. (2019). Lineamientos éticos en investigación con adolescentes. Instituto Nacional de Salud — INS.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Marco ético del consentimiento parental + asentimiento del menor que el sistema implementa en `ConsentView.vue`.</w:t>
      </w:r>
    </w:p>
    <w:p>
      <w:pPr>
        <w:pStyle w:val="Heading1"/>
      </w:pPr>
      <w:r>
        <w:rPr>
          <w:color w:val="059669"/>
          <w:sz w:val="40"/>
        </w:rPr>
        <w:t>7. Líneas de ayuda oficiales en el Perú</w:t>
      </w:r>
    </w:p>
    <w:p>
      <w:pPr>
        <w:pStyle w:val="Heading3"/>
      </w:pPr>
      <w:r>
        <w:rPr>
          <w:color w:val="0A0A0A"/>
          <w:sz w:val="24"/>
        </w:rPr>
        <w:t>7.1 Línea 113 — MINSA, opción 5 Salud Mental</w:t>
      </w:r>
    </w:p>
    <w:p>
      <w:pPr>
        <w:spacing w:after="120"/>
        <w:ind w:left="567" w:hanging="567"/>
      </w:pPr>
      <w:r>
        <w:rPr>
          <w:sz w:val="22"/>
        </w:rPr>
        <w:t>Ministerio de Salud del Perú. (2024). Línea 113 — Servicio InfoSalud. Opción 5: Salud mental, atención en crisis emocional. https://www.gob.pe/minsa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Línea de emergencia mostrada al alumno cuando el sistema detecta crisis (ítem 9 PHQ-A ≥1 o BERT riesgo suicida ≥40%). Implementado en `app/services/sos_service.py` y en `RecursosView.vue`.</w:t>
      </w:r>
    </w:p>
    <w:p>
      <w:pPr>
        <w:pStyle w:val="Heading3"/>
      </w:pPr>
      <w:r>
        <w:rPr>
          <w:color w:val="0A0A0A"/>
          <w:sz w:val="24"/>
        </w:rPr>
        <w:t>7.2 SALUDLINE 106 — INSM Honorio Delgado–Hideyo Noguchi</w:t>
      </w:r>
    </w:p>
    <w:p>
      <w:pPr>
        <w:spacing w:after="120"/>
        <w:ind w:left="567" w:hanging="567"/>
      </w:pPr>
      <w:r>
        <w:rPr>
          <w:sz w:val="22"/>
        </w:rPr>
        <w:t>Instituto Nacional de Salud Mental Honorio Delgado–Hideyo Noguchi. (2024). SALUDLINE 106 — Orientación telefónica en salud mental. Ministerio de Salud del Perú.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Segunda línea de apoyo mostrada al alumno y en la pantalla de consentimiento. Atención especializada en salud mental.</w:t>
      </w:r>
    </w:p>
    <w:p>
      <w:pPr>
        <w:pStyle w:val="Heading3"/>
      </w:pPr>
      <w:r>
        <w:rPr>
          <w:color w:val="0A0A0A"/>
          <w:sz w:val="24"/>
        </w:rPr>
        <w:t>7.3 Teléfono de la Esperanza</w:t>
      </w:r>
    </w:p>
    <w:p>
      <w:pPr>
        <w:spacing w:after="120"/>
        <w:ind w:left="567" w:hanging="567"/>
      </w:pPr>
      <w:r>
        <w:rPr>
          <w:sz w:val="22"/>
        </w:rPr>
        <w:t>Teléfono de la Esperanza del Perú. (2024). Línea de apoyo emocional 24 horas. https://telefonodelaesperanza.org/pe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Tercera línea de apoyo, ONG con cobertura 24 horas, citada en `RecursosView.vue`.</w:t>
      </w:r>
    </w:p>
    <w:p>
      <w:pPr>
        <w:pStyle w:val="Heading1"/>
      </w:pPr>
      <w:r>
        <w:rPr>
          <w:color w:val="059669"/>
          <w:sz w:val="40"/>
        </w:rPr>
        <w:t>8. Contexto de salud mental adolescente</w:t>
      </w:r>
    </w:p>
    <w:p>
      <w:pPr>
        <w:pStyle w:val="Heading3"/>
      </w:pPr>
      <w:r>
        <w:rPr>
          <w:color w:val="0A0A0A"/>
          <w:sz w:val="24"/>
        </w:rPr>
        <w:t>8.1 Datos epidemiológicos globales</w:t>
      </w:r>
    </w:p>
    <w:p>
      <w:pPr>
        <w:spacing w:after="120"/>
        <w:ind w:left="567" w:hanging="567"/>
      </w:pPr>
      <w:r>
        <w:rPr>
          <w:sz w:val="22"/>
        </w:rPr>
        <w:t>World Health Organization. (2021). Adolescent mental health fact sheet. Geneva: WHO. https://www.who.int/news-room/fact-sheets/detail/adolescent-mental-health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Justifica la urgencia del problema: 1 de cada 7 adolescentes (10–19 años) padece un trastorno mental. La depresión es una de las principales causas de enfermedad y discapacidad.</w:t>
      </w:r>
    </w:p>
    <w:p>
      <w:pPr>
        <w:pStyle w:val="Heading3"/>
      </w:pPr>
      <w:r>
        <w:rPr>
          <w:color w:val="0A0A0A"/>
          <w:sz w:val="24"/>
        </w:rPr>
        <w:t>8.2 Datos en Perú</w:t>
      </w:r>
    </w:p>
    <w:p>
      <w:pPr>
        <w:spacing w:after="120"/>
        <w:ind w:left="567" w:hanging="567"/>
      </w:pPr>
      <w:r>
        <w:rPr>
          <w:sz w:val="22"/>
        </w:rPr>
        <w:t>Instituto Nacional de Salud Mental Honorio Delgado–Hideyo Noguchi. (2013). Estudio Epidemiológico de Salud Mental en Adolescentes en Lima Metropolitana y Callao. Anales de Salud Mental, 28(Supl. 1).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Datos locales que sostienen la pertinencia del proyecto en el contexto peruano.</w:t>
      </w:r>
    </w:p>
    <w:p>
      <w:pPr>
        <w:spacing w:after="120"/>
        <w:ind w:left="567" w:hanging="567"/>
      </w:pPr>
      <w:r>
        <w:rPr>
          <w:sz w:val="22"/>
        </w:rPr>
        <w:t>Defensoría del Pueblo del Perú. (2018). El derecho a la salud mental: Supervisión de la implementación de la política pública de atención comunitaria y el respeto a los derechos humanos. Informe Defensorial N° 180.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Marco de derechos humanos asociado al acceso a salud mental en Perú.</w:t>
      </w:r>
    </w:p>
    <w:p>
      <w:pPr>
        <w:pStyle w:val="Heading1"/>
      </w:pPr>
      <w:r>
        <w:rPr>
          <w:color w:val="059669"/>
          <w:sz w:val="40"/>
        </w:rPr>
        <w:t>9. Salud mental digital y apps de bienestar</w:t>
      </w:r>
    </w:p>
    <w:p>
      <w:pPr>
        <w:pStyle w:val="Heading3"/>
      </w:pPr>
      <w:r>
        <w:rPr>
          <w:color w:val="0A0A0A"/>
          <w:sz w:val="24"/>
        </w:rPr>
        <w:t>9.1 Eficacia de apps en salud mental</w:t>
      </w:r>
    </w:p>
    <w:p>
      <w:pPr>
        <w:spacing w:after="120"/>
        <w:ind w:left="567" w:hanging="567"/>
      </w:pPr>
      <w:r>
        <w:rPr>
          <w:sz w:val="22"/>
        </w:rPr>
        <w:t>Linardon, J., Cuijpers, P., Carlbring, P., Messer, M., &amp; Fuller-Tyszkiewicz, M. (2019). The efficacy of app-supported smartphone interventions for mental health problems: A meta-analysis of randomized controlled trials. World Psychiatry, 18(3), 325–336. https://doi.org/10.1002/wps.20673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Meta-análisis que respalda la efectividad de las intervenciones digitales en salud mental. Defensa contra el argumento 'una app no sirve'.</w:t>
      </w:r>
    </w:p>
    <w:p>
      <w:pPr>
        <w:pStyle w:val="Heading3"/>
      </w:pPr>
      <w:r>
        <w:rPr>
          <w:color w:val="0A0A0A"/>
          <w:sz w:val="24"/>
        </w:rPr>
        <w:t>9.2 Psiquiatría digital actual</w:t>
      </w:r>
    </w:p>
    <w:p>
      <w:pPr>
        <w:spacing w:after="120"/>
        <w:ind w:left="567" w:hanging="567"/>
      </w:pPr>
      <w:r>
        <w:rPr>
          <w:sz w:val="22"/>
        </w:rPr>
        <w:t>Torous, J., Bucci, S., Bell, I. H., Kessing, L. V., Faurholt-Jepsen, M., Whelan, P., Carvalho, A. F., Keshavan, M., Linardon, J., &amp; Firth, J. (2021). The growing field of digital psychiatry: Current evidence and the future of apps, social media, chatbots, and virtual reality. World Psychiatry, 20(3), 318–335. https://doi.org/10.1002/wps.20883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Estado del arte de la psiquiatría digital. Define las buenas prácticas que Sami sigue: no diagnostica, complementa al profesional, respeta privacidad.</w:t>
      </w:r>
    </w:p>
    <w:p>
      <w:pPr>
        <w:pStyle w:val="Heading3"/>
      </w:pPr>
      <w:r>
        <w:rPr>
          <w:color w:val="0A0A0A"/>
          <w:sz w:val="24"/>
        </w:rPr>
        <w:t>9.3 Diarios emocionales como intervención</w:t>
      </w:r>
    </w:p>
    <w:p>
      <w:pPr>
        <w:spacing w:after="120"/>
        <w:ind w:left="567" w:hanging="567"/>
      </w:pPr>
      <w:r>
        <w:rPr>
          <w:sz w:val="22"/>
        </w:rPr>
        <w:t>Pennebaker, J. W., &amp; Smyth, J. M. (2016). Opening up by writing it down: How expressive writing improves health and eases emotional pain (3rd ed.). The Guilford Press.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Fundamento teórico de la escritura expresiva como herramienta terapéutica. Justifica el formato de diario en Sami por encima de un cuestionario cerrado.</w:t>
      </w:r>
    </w:p>
    <w:p>
      <w:pPr>
        <w:pStyle w:val="Heading1"/>
      </w:pPr>
      <w:r>
        <w:rPr>
          <w:color w:val="059669"/>
          <w:sz w:val="40"/>
        </w:rPr>
        <w:t>10. PLN aplicado a salud mental</w:t>
      </w:r>
    </w:p>
    <w:p>
      <w:pPr>
        <w:pStyle w:val="Heading3"/>
      </w:pPr>
      <w:r>
        <w:rPr>
          <w:color w:val="0A0A0A"/>
          <w:sz w:val="24"/>
        </w:rPr>
        <w:t>10.1 Detección automática de depresión en texto</w:t>
      </w:r>
    </w:p>
    <w:p>
      <w:pPr>
        <w:spacing w:after="120"/>
        <w:ind w:left="567" w:hanging="567"/>
      </w:pPr>
      <w:r>
        <w:rPr>
          <w:sz w:val="22"/>
        </w:rPr>
        <w:t>Coppersmith, G., Dredze, M., &amp; Harman, C. (2014). Quantifying mental health signals in Twitter. In Proceedings of the Workshop on Computational Linguistics and Clinical Psychology: From Linguistic Signal to Clinical Reality (pp. 51–60). Association for Computational Linguistics. https://doi.org/10.3115/v1/W14-3207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Demuestra que las señales lingüísticas de salud mental son detectables computacionalmente. Sostiene el enfoque metodológico de Sami.</w:t>
      </w:r>
    </w:p>
    <w:p>
      <w:pPr>
        <w:spacing w:after="120"/>
        <w:ind w:left="567" w:hanging="567"/>
      </w:pPr>
      <w:r>
        <w:rPr>
          <w:sz w:val="22"/>
        </w:rPr>
        <w:t>Cohan, A., Desmet, B., Yates, A., Soldaini, L., MacAvaney, S., &amp; Goharian, N. (2018). SMHD: A large-scale resource for exploring online language usage for multiple mental health conditions. In Proceedings of the 27th International Conference on Computational Linguistics (pp. 1485–1497).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Dataset y enfoque que respalda el monitoreo multi-condición (depresión, ansiedad, TDAH, soledad) que Sami implementa.</w:t>
      </w:r>
    </w:p>
    <w:p>
      <w:pPr>
        <w:pStyle w:val="Heading3"/>
      </w:pPr>
      <w:r>
        <w:rPr>
          <w:color w:val="0A0A0A"/>
          <w:sz w:val="24"/>
        </w:rPr>
        <w:t>10.2 Detección de riesgo suicida en texto</w:t>
      </w:r>
    </w:p>
    <w:p>
      <w:pPr>
        <w:spacing w:after="120"/>
        <w:ind w:left="567" w:hanging="567"/>
      </w:pPr>
      <w:r>
        <w:rPr>
          <w:sz w:val="22"/>
        </w:rPr>
        <w:t>Coppersmith, G., Leary, R., Crutchley, P., &amp; Fine, A. (2018). Natural language processing of social media as screening for suicide risk. Biomedical Informatics Insights, 10, 1178222618792860. https://doi.org/10.1177/1178222618792860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Sostiene la viabilidad clínica de detectar riesgo suicida vía PLN. Respalda el umbral sensible de 40% configurado en Sami para la categoría 'riesgo_suicida' del modelo BERT.</w:t>
      </w:r>
    </w:p>
    <w:p>
      <w:pPr>
        <w:pStyle w:val="Heading1"/>
      </w:pPr>
      <w:r>
        <w:rPr>
          <w:color w:val="059669"/>
          <w:sz w:val="40"/>
        </w:rPr>
        <w:t>11. Seguridad de la información</w:t>
      </w:r>
    </w:p>
    <w:p>
      <w:pPr>
        <w:pStyle w:val="Heading3"/>
      </w:pPr>
      <w:r>
        <w:rPr>
          <w:color w:val="0A0A0A"/>
          <w:sz w:val="24"/>
        </w:rPr>
        <w:t>11.1 OWASP Top 10</w:t>
      </w:r>
    </w:p>
    <w:p>
      <w:pPr>
        <w:spacing w:after="120"/>
        <w:ind w:left="567" w:hanging="567"/>
      </w:pPr>
      <w:r>
        <w:rPr>
          <w:sz w:val="22"/>
        </w:rPr>
        <w:t>Open Web Application Security Project. (2021). OWASP Top 10: The ten most critical web application security risks. https://owasp.org/Top10/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Marco de referencia para las decisiones de seguridad de la arquitectura: hash de contraseñas con bcrypt, autenticación JWT con expiración de 24 horas, sanitización de inputs, control de acceso por rol.</w:t>
      </w:r>
    </w:p>
    <w:p>
      <w:pPr>
        <w:pStyle w:val="Heading3"/>
      </w:pPr>
      <w:r>
        <w:rPr>
          <w:color w:val="0A0A0A"/>
          <w:sz w:val="24"/>
        </w:rPr>
        <w:t>11.2 JWT — Estándar de tokens</w:t>
      </w:r>
    </w:p>
    <w:p>
      <w:pPr>
        <w:spacing w:after="120"/>
        <w:ind w:left="567" w:hanging="567"/>
      </w:pPr>
      <w:r>
        <w:rPr>
          <w:sz w:val="22"/>
        </w:rPr>
        <w:t>Jones, M., Bradley, J., &amp; Sakimura, N. (2015). JSON Web Token (JWT). Request for Comments: 7519. Internet Engineering Task Force (IETF). https://datatracker.ietf.org/doc/html/rfc7519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Especificación técnica del mecanismo de autenticación implementado en `app/core/security.py`.</w:t>
      </w:r>
    </w:p>
    <w:p>
      <w:pPr>
        <w:pStyle w:val="Heading1"/>
      </w:pPr>
      <w:r>
        <w:rPr>
          <w:color w:val="059669"/>
          <w:sz w:val="40"/>
        </w:rPr>
        <w:t>12. Documentación oficial de las tecnologías</w:t>
      </w:r>
    </w:p>
    <w:p>
      <w:pPr>
        <w:spacing w:after="120"/>
        <w:ind w:left="567" w:hanging="567"/>
      </w:pPr>
      <w:r>
        <w:rPr>
          <w:sz w:val="22"/>
        </w:rPr>
        <w:t>Ramírez, S. (2024). FastAPI documentation. https://fastapi.tiangolo.com/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Framework web del backend.</w:t>
      </w:r>
    </w:p>
    <w:p>
      <w:pPr>
        <w:spacing w:after="120"/>
        <w:ind w:left="567" w:hanging="567"/>
      </w:pPr>
      <w:r>
        <w:rPr>
          <w:sz w:val="22"/>
        </w:rPr>
        <w:t>You, E. (2024). Vue.js 3 documentation. https://vuejs.org/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Framework frontend.</w:t>
      </w:r>
    </w:p>
    <w:p>
      <w:pPr>
        <w:spacing w:after="120"/>
        <w:ind w:left="567" w:hanging="567"/>
      </w:pPr>
      <w:r>
        <w:rPr>
          <w:sz w:val="22"/>
        </w:rPr>
        <w:t>Hugging Face. (2024). Transformers library documentation. https://huggingface.co/docs/transformers/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Biblioteca usada para cargar y servir el modelo BERT en Sami.</w:t>
      </w:r>
    </w:p>
    <w:p>
      <w:pPr>
        <w:spacing w:after="120"/>
        <w:ind w:left="567" w:hanging="567"/>
      </w:pPr>
      <w:r>
        <w:rPr>
          <w:sz w:val="22"/>
        </w:rPr>
        <w:t>Bayer, M. (2024). SQLAlchemy documentation. https://docs.sqlalchemy.org/</w:t>
      </w:r>
    </w:p>
    <w:p>
      <w:pPr>
        <w:spacing w:before="0" w:after="200"/>
        <w:ind w:left="567"/>
      </w:pPr>
      <w:r>
        <w:rPr>
          <w:b/>
          <w:i/>
          <w:color w:val="046A49"/>
          <w:sz w:val="20"/>
        </w:rPr>
        <w:t xml:space="preserve">Uso en el sistema: </w:t>
      </w:r>
      <w:r>
        <w:rPr>
          <w:i/>
          <w:color w:val="5A5A5A"/>
          <w:sz w:val="20"/>
        </w:rPr>
        <w:t>ORM del backend para SQLite.</w:t>
      </w:r>
    </w:p>
    <w:p>
      <w:r>
        <w:br w:type="page"/>
      </w:r>
    </w:p>
    <w:p>
      <w:pPr>
        <w:pStyle w:val="Heading1"/>
      </w:pPr>
      <w:r>
        <w:rPr>
          <w:color w:val="059669"/>
          <w:sz w:val="40"/>
        </w:rPr>
        <w:t>Notas finales</w:t>
      </w:r>
    </w:p>
    <w:p>
      <w:r>
        <w:rPr>
          <w:b/>
          <w:sz w:val="22"/>
        </w:rPr>
        <w:t>Resumen de respaldo por componente del sistema:</w:t>
      </w:r>
    </w:p>
    <w:p>
      <w:pPr>
        <w:pStyle w:val="ListBullet"/>
      </w:pPr>
      <w:r>
        <w:rPr>
          <w:sz w:val="22"/>
        </w:rPr>
        <w:t>Escalas clínicas PHQ-A y GAD-7: validación original (Kroenke et al., 2001; Spitzer et al., 2006) + validación en adolescentes (Johnson et al., 2002) + adaptación al Perú (Calderón et al., 2012; Saravia et al., 2014) + versión en español (García-Campayo et al., 2010).</w:t>
      </w:r>
    </w:p>
    <w:p>
      <w:pPr>
        <w:pStyle w:val="ListBullet"/>
      </w:pPr>
      <w:r>
        <w:rPr>
          <w:sz w:val="22"/>
        </w:rPr>
        <w:t>Criterios diagnósticos: DSM-5 (APA, 2013) y DSM-5-TR (APA, 2022) directamente como manuales oficiales.</w:t>
      </w:r>
    </w:p>
    <w:p>
      <w:pPr>
        <w:pStyle w:val="ListBullet"/>
      </w:pPr>
      <w:r>
        <w:rPr>
          <w:sz w:val="22"/>
        </w:rPr>
        <w:t>Tabla días→puntos (Johnson): traducción literal de las 4 frases del cuestionario oficial (Johnson et al., 2002).</w:t>
      </w:r>
    </w:p>
    <w:p>
      <w:pPr>
        <w:pStyle w:val="ListBullet"/>
      </w:pPr>
      <w:r>
        <w:rPr>
          <w:sz w:val="22"/>
        </w:rPr>
        <w:t>Modelo de IA: tres referencias en cascada: BERT (Devlin et al., 2019) → BETO en español (Cañete et al., 2020) → fine-tuning XNLI (Conneau et al., 2018; Yin et al., 2019). El modelo específico es de Recognai (2020).</w:t>
      </w:r>
    </w:p>
    <w:p>
      <w:pPr>
        <w:pStyle w:val="ListBullet"/>
      </w:pPr>
      <w:r>
        <w:rPr>
          <w:sz w:val="22"/>
        </w:rPr>
        <w:t>Riesgo suicida: C-SSRS (Posner et al., 2011) + evidencia de PLN aplicado (Coppersmith et al., 2018).</w:t>
      </w:r>
    </w:p>
    <w:p>
      <w:pPr>
        <w:pStyle w:val="ListBullet"/>
      </w:pPr>
      <w:r>
        <w:rPr>
          <w:sz w:val="22"/>
        </w:rPr>
        <w:t>Marco legal: Ley 29733 + Reglamento + RVM 212-2020-MINEDU + Lineamientos del Consejo Nacional de Bioética.</w:t>
      </w:r>
    </w:p>
    <w:p>
      <w:pPr>
        <w:pStyle w:val="ListBullet"/>
      </w:pPr>
      <w:r>
        <w:rPr>
          <w:sz w:val="22"/>
        </w:rPr>
        <w:t>Líneas de ayuda: directamente del MINSA, INSM Honorio Delgado–Hideyo Noguchi y ONG Teléfono de la Esperanza.</w:t>
      </w:r>
    </w:p>
    <w:p>
      <w:pPr>
        <w:pStyle w:val="ListBullet"/>
      </w:pPr>
      <w:r>
        <w:rPr>
          <w:sz w:val="22"/>
        </w:rPr>
        <w:t>Seguridad: OWASP Top 10 y RFC 7519 (JWT).</w:t>
      </w:r>
    </w:p>
    <w:p>
      <w:r>
        <w:rPr>
          <w:i/>
          <w:sz w:val="22"/>
        </w:rPr>
        <w:t>Ninguna afirmación clínica, estadística o normativa del sistema Sami se basa en fuentes no revisadas por pares o no oficiales. Las referencias citadas en este documento son directamente verificables a través de los DOI y enlaces institucionales proporcionados.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