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C6E"/>
          <w:sz w:val="56"/>
        </w:rPr>
        <w:t>TILETORIA &amp; SPEC LAB</w:t>
        <w:br/>
      </w:r>
      <w:r>
        <w:rPr>
          <w:rFonts w:ascii="Calibri" w:hAnsi="Calibri"/>
          <w:color w:val="2C5A8C"/>
          <w:sz w:val="32"/>
        </w:rPr>
        <w:t>20 Essential Calculators</w:t>
        <w:br/>
        <w:t>for South African Tiling &amp; Flooring</w:t>
      </w:r>
    </w:p>
    <w:p>
      <w:pPr>
        <w:jc w:val="center"/>
      </w:pPr>
      <w:r>
        <w:rPr>
          <w:rFonts w:ascii="Calibri" w:hAnsi="Calibri"/>
          <w:color w:val="888888"/>
          <w:sz w:val="20"/>
        </w:rPr>
        <w:br/>
        <w:t>Complete Technical Guide with Formulas, Tables &amp; Worked Examples</w:t>
        <w:br/>
        <w:br/>
        <w:t>SANS 10109  •  SANS 10400  •  SANS 10107  •  SANS 1449</w:t>
        <w:br/>
        <w:t>South Africa | Metric System | ZAR Pricing</w:t>
        <w:br/>
        <w:br/>
        <w:t>May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C5A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A7AA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8AB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