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C6E"/>
          <w:sz w:val="56"/>
        </w:rPr>
        <w:t>TILETORIA &amp; SPEC LAB</w:t>
      </w:r>
    </w:p>
    <w:p>
      <w:pPr>
        <w:jc w:val="center"/>
      </w:pPr>
      <w:r>
        <w:rPr>
          <w:rFonts w:ascii="Calibri" w:hAnsi="Calibri"/>
          <w:color w:val="2C5A8C"/>
          <w:sz w:val="36"/>
        </w:rPr>
        <w:t>Customer Persona Q&amp;A Knowledge Base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br/>
        <w:t>Complete Chatbot AI Brain Reference Document</w:t>
        <w:br/>
      </w:r>
    </w:p>
    <w:p>
      <w:pPr>
        <w:jc w:val="center"/>
      </w:pPr>
      <w:r>
        <w:rPr>
          <w:rFonts w:ascii="Calibri" w:hAnsi="Calibri"/>
          <w:color w:val="888888"/>
          <w:sz w:val="20"/>
        </w:rPr>
        <w:br/>
        <w:t>9 Customer Personas  |  ~9,000 Q&amp;A Pairs  |  South Africa</w:t>
        <w:br/>
        <w:br/>
        <w:t>B2C Consumers  •  B2B Trade  •  Professional Specifiers  •  Wholesale Channel</w:t>
        <w:br/>
        <w:br/>
        <w:t>May 2026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C5A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A7AA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A8AB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