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ind w:firstLine="566.929133858267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02">
      <w:pPr>
        <w:spacing w:after="16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detailed listing of the topics identified in Section 3. Below is a list of topics and their subtopics. The amount of records from the dataset collection that is assigned to the corresponding topic-subtopic pair is specified for each subtopic.</w:t>
      </w:r>
    </w:p>
    <w:p w:rsidR="00000000" w:rsidDel="00000000" w:rsidP="00000000" w:rsidRDefault="00000000" w:rsidRPr="00000000" w14:paraId="00000003">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management:</w:t>
      </w:r>
      <w:r w:rsidDel="00000000" w:rsidR="00000000" w:rsidRPr="00000000">
        <w:rPr>
          <w:rFonts w:ascii="Times New Roman" w:cs="Times New Roman" w:eastAsia="Times New Roman" w:hAnsi="Times New Roman"/>
          <w:sz w:val="24"/>
          <w:szCs w:val="24"/>
          <w:rtl w:val="0"/>
        </w:rPr>
        <w:t xml:space="preserve"> Financial performance (1599), Financial reporting (590), Risk management (410), Revenue and income (401), Business partnership (343), Financial planning (301), Costs (250), Corporate governance (241), Contractual liabilities (202), Stock-based compensation (179), Stock buyback (161), Asset management (151), Public offering (102), Obligations of owners (98), Regular reports (96), Customer Service (93), Financing from own funds (85), Business objects (76), Mergers and acquisitions (72), Salary (68), Publishing activities (67), Personnel management (61), Monetary policy (45), Asset accounting (44), Ethics (44), Goodwill (42), Dividend policy (41), Diluted earnings per share (40), Rent (40), Debt restructuring (35), Forms of commercial organizations (31), External investments (30), Share capital dilution (30), Hedging (30), Communication technologies (29), Share ownership (28), Product competitiveness (24), Franchise (23), Production control (22), Marketing (22), Asset diversification (22), Purchases (21), Applications (18), Hierarchy in the company (17), Board of Directors (17), Pricing policy (17), Relationship with the trustee (14), Sponsorship (14), Retail (12), Debt crisis (12).</w:t>
      </w:r>
    </w:p>
    <w:p w:rsidR="00000000" w:rsidDel="00000000" w:rsidP="00000000" w:rsidRDefault="00000000" w:rsidRPr="00000000" w14:paraId="00000004">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Investments:</w:t>
      </w:r>
      <w:r w:rsidDel="00000000" w:rsidR="00000000" w:rsidRPr="00000000">
        <w:rPr>
          <w:rFonts w:ascii="Times New Roman" w:cs="Times New Roman" w:eastAsia="Times New Roman" w:hAnsi="Times New Roman"/>
          <w:sz w:val="24"/>
          <w:szCs w:val="24"/>
          <w:rtl w:val="0"/>
        </w:rPr>
        <w:t xml:space="preserve"> Funds (710), Dependencies in value movement (555), The stock market (514), Stocks (488), Options (455), Investment strategies (310), Dividends paid (301), Bonds (291), Stock market indexes (256), Financial indicators (237), Derivatives (183), Diversification (145), Financial analysis (135), Creating a portfolio (117), Technology companies (95), Trading tools (83), Trading (79), Training (78), Exchange orders (60), Types of positions (59), Precious metals (59), Asset pricing (52), Consulting services (50), Technical analysis (49), Financial markets (48), Mutual investment Fund (43), Return on investment (42), Chinese companies (40), Convertible securities (33), Brokers (33), Insider trading (26), Overnight (19), Hedging (19), Celebrities (19), Investment life cycle (14), Emotionality when shopping (12), Commission (12).</w:t>
      </w:r>
    </w:p>
    <w:p w:rsidR="00000000" w:rsidDel="00000000" w:rsidP="00000000" w:rsidRDefault="00000000" w:rsidRPr="00000000" w14:paraId="00000005">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Sectoral finance:</w:t>
      </w:r>
      <w:r w:rsidDel="00000000" w:rsidR="00000000" w:rsidRPr="00000000">
        <w:rPr>
          <w:rFonts w:ascii="Times New Roman" w:cs="Times New Roman" w:eastAsia="Times New Roman" w:hAnsi="Times New Roman"/>
          <w:sz w:val="24"/>
          <w:szCs w:val="24"/>
          <w:rtl w:val="0"/>
        </w:rPr>
        <w:t xml:space="preserve"> Cars (390), Energy sector (343), Health care (245), High-tech products (227), Raw materials (203), Oil and gas (167), Aviation industry (79), Packaging industry (77), Agriculture and farms (75), Transport (74), Logistics (67), Alcohol industry (53), Industrial equipment (52), Printing industry (45), Pulp and paper industry (45), Pharmaceutical industry (43), Clothes (41), Telecommunications (40), Food processing industry (38), Media industry (37), Construction industry (36), Cruise industry (34), Biotechnologies (33), Meat industry (33), Tobacco industry (27), Biofuels (27), Tourism (23), Railway industry (22), Mining operations (20), Glass production (18), Paint and varnish industry (18), Coal industry (16), Textile industry (12).</w:t>
      </w:r>
    </w:p>
    <w:p w:rsidR="00000000" w:rsidDel="00000000" w:rsidP="00000000" w:rsidRDefault="00000000" w:rsidRPr="00000000" w14:paraId="00000006">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Flow of financial resources:</w:t>
      </w:r>
      <w:r w:rsidDel="00000000" w:rsidR="00000000" w:rsidRPr="00000000">
        <w:rPr>
          <w:rFonts w:ascii="Times New Roman" w:cs="Times New Roman" w:eastAsia="Times New Roman" w:hAnsi="Times New Roman"/>
          <w:sz w:val="24"/>
          <w:szCs w:val="24"/>
          <w:rtl w:val="0"/>
        </w:rPr>
        <w:t xml:space="preserve"> Credit (666), Loans (468), Transactions (277), Deposit form (131), Turnover (121), Soft loans (47), Promissory note (33), Repayment of a financial instrument (28), Voucher (28), Money transfer mechanisms (24), Annuity plan (15), Operation revocation (10).</w:t>
      </w:r>
    </w:p>
    <w:p w:rsidR="00000000" w:rsidDel="00000000" w:rsidP="00000000" w:rsidRDefault="00000000" w:rsidRPr="00000000" w14:paraId="00000007">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Accounting:</w:t>
      </w:r>
      <w:r w:rsidDel="00000000" w:rsidR="00000000" w:rsidRPr="00000000">
        <w:rPr>
          <w:rFonts w:ascii="Times New Roman" w:cs="Times New Roman" w:eastAsia="Times New Roman" w:hAnsi="Times New Roman"/>
          <w:sz w:val="24"/>
          <w:szCs w:val="24"/>
          <w:rtl w:val="0"/>
        </w:rPr>
        <w:t xml:space="preserve"> Audit (425), Cost accounting (262), Asset valuation (192), Margin (161), Financial reserves (116), Financial indicators (93), Lease accounting (85), Fixed assets (76), Financial data (67), Accounts receivable (56), Balance sheet (55), Depreciation and amortization (41), Data confirmation (37), Internal control (35), Tax accounting (32), Shareholders’ equity (31), Impairment of an asset (29), Mistakes (20), Accounting account structure (17).</w:t>
      </w:r>
    </w:p>
    <w:p w:rsidR="00000000" w:rsidDel="00000000" w:rsidP="00000000" w:rsidRDefault="00000000" w:rsidRPr="00000000" w14:paraId="00000008">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Taxes:</w:t>
      </w:r>
      <w:r w:rsidDel="00000000" w:rsidR="00000000" w:rsidRPr="00000000">
        <w:rPr>
          <w:rFonts w:ascii="Times New Roman" w:cs="Times New Roman" w:eastAsia="Times New Roman" w:hAnsi="Times New Roman"/>
          <w:sz w:val="24"/>
          <w:szCs w:val="24"/>
          <w:rtl w:val="0"/>
        </w:rPr>
        <w:t xml:space="preserve"> Tax law (579), VAT (416), Income tax (120), Corporate taxation (92), Tax deductions (59), Invoice form (24), wash sale (22), Tax losses (21), Tax systems (17), Customs duty (13), Tax regulation (11).</w:t>
      </w:r>
    </w:p>
    <w:p w:rsidR="00000000" w:rsidDel="00000000" w:rsidP="00000000" w:rsidRDefault="00000000" w:rsidRPr="00000000" w14:paraId="00000009">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Macroeconomics:</w:t>
      </w:r>
      <w:r w:rsidDel="00000000" w:rsidR="00000000" w:rsidRPr="00000000">
        <w:rPr>
          <w:rFonts w:ascii="Times New Roman" w:cs="Times New Roman" w:eastAsia="Times New Roman" w:hAnsi="Times New Roman"/>
          <w:sz w:val="24"/>
          <w:szCs w:val="24"/>
          <w:rtl w:val="0"/>
        </w:rPr>
        <w:t xml:space="preserve"> Financial regulation instruments (261), Northern countries (134), Global markets (126), Monetary system (108), State fiscal policy (91), State and law (59), Economic cycle (52), Europe (51), Financial markets (48), Economic indicators (47), Inflation rate (41), Import / Export (38), International relations (38), Labor market (35), State ownership (34), Market efficiency (32), European Union (32), Middle East (25), Investing in other countries (25), Economic efficiency (17), Economic policy (16), Demographics (12).</w:t>
      </w:r>
    </w:p>
    <w:p w:rsidR="00000000" w:rsidDel="00000000" w:rsidP="00000000" w:rsidRDefault="00000000" w:rsidRPr="00000000" w14:paraId="0000000A">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Insurance:</w:t>
      </w:r>
      <w:r w:rsidDel="00000000" w:rsidR="00000000" w:rsidRPr="00000000">
        <w:rPr>
          <w:rFonts w:ascii="Times New Roman" w:cs="Times New Roman" w:eastAsia="Times New Roman" w:hAnsi="Times New Roman"/>
          <w:sz w:val="24"/>
          <w:szCs w:val="24"/>
          <w:rtl w:val="0"/>
        </w:rPr>
        <w:t xml:space="preserve"> Life insurance (417), Health insurance (290), Insurance contract (264), Applications for insurance indemnity (117), Accident insurance (44), Insurance instruments (40), Other insurance items (39), Insurance terms and conditions (32), Car insurance (24), Authentication process (12), Changing the expiration date (11).</w:t>
      </w:r>
    </w:p>
    <w:p w:rsidR="00000000" w:rsidDel="00000000" w:rsidP="00000000" w:rsidRDefault="00000000" w:rsidRPr="00000000" w14:paraId="0000000B">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 estate:</w:t>
      </w:r>
      <w:r w:rsidDel="00000000" w:rsidR="00000000" w:rsidRPr="00000000">
        <w:rPr>
          <w:rFonts w:ascii="Times New Roman" w:cs="Times New Roman" w:eastAsia="Times New Roman" w:hAnsi="Times New Roman"/>
          <w:sz w:val="24"/>
          <w:szCs w:val="24"/>
          <w:rtl w:val="0"/>
        </w:rPr>
        <w:t xml:space="preserve"> Mortgage (525), Rent (351), Property details (269), Real estate market (32), Real estate ownership (22), Cost estimation (19).</w:t>
      </w:r>
    </w:p>
    <w:p w:rsidR="00000000" w:rsidDel="00000000" w:rsidP="00000000" w:rsidRDefault="00000000" w:rsidRPr="00000000" w14:paraId="0000000C">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Banks:</w:t>
      </w:r>
      <w:r w:rsidDel="00000000" w:rsidR="00000000" w:rsidRPr="00000000">
        <w:rPr>
          <w:rFonts w:ascii="Times New Roman" w:cs="Times New Roman" w:eastAsia="Times New Roman" w:hAnsi="Times New Roman"/>
          <w:sz w:val="24"/>
          <w:szCs w:val="24"/>
          <w:rtl w:val="0"/>
        </w:rPr>
        <w:t xml:space="preserve"> Applications (136), State-owned banks (106), Bank capital (97), Commercial banks (95), Northern Banks (77), Checks (71), Transactions (46), Chinese banks (33), Bank account (19), Financial fraud prevention (12), Credit scoring (12), Securitization (10).</w:t>
      </w:r>
    </w:p>
    <w:p w:rsidR="00000000" w:rsidDel="00000000" w:rsidP="00000000" w:rsidRDefault="00000000" w:rsidRPr="00000000" w14:paraId="0000000D">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finance:</w:t>
      </w:r>
      <w:r w:rsidDel="00000000" w:rsidR="00000000" w:rsidRPr="00000000">
        <w:rPr>
          <w:rFonts w:ascii="Times New Roman" w:cs="Times New Roman" w:eastAsia="Times New Roman" w:hAnsi="Times New Roman"/>
          <w:sz w:val="24"/>
          <w:szCs w:val="24"/>
          <w:rtl w:val="0"/>
        </w:rPr>
        <w:t xml:space="preserve"> Deposit plans (297), Payment by mobile systems (130), Data privacy policy (111), Acquisition of assets (76), Heritage (22), Charity (18), Receipts (16), Financial education (15).</w:t>
      </w:r>
    </w:p>
    <w:p w:rsidR="00000000" w:rsidDel="00000000" w:rsidP="00000000" w:rsidRDefault="00000000" w:rsidRPr="00000000" w14:paraId="0000000E">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issues: Pension (465), Changes in employment (89), Awards (34), Dismissal (25), Employment opportunities (19), Labor relations (17).</w:t>
      </w:r>
    </w:p>
    <w:p w:rsidR="00000000" w:rsidDel="00000000" w:rsidP="00000000" w:rsidRDefault="00000000" w:rsidRPr="00000000" w14:paraId="0000000F">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Currency:</w:t>
      </w:r>
      <w:r w:rsidDel="00000000" w:rsidR="00000000" w:rsidRPr="00000000">
        <w:rPr>
          <w:rFonts w:ascii="Times New Roman" w:cs="Times New Roman" w:eastAsia="Times New Roman" w:hAnsi="Times New Roman"/>
          <w:sz w:val="24"/>
          <w:szCs w:val="24"/>
          <w:rtl w:val="0"/>
        </w:rPr>
        <w:t xml:space="preserve"> Currency data (386), Currency exchange (68), Cryptocurrency (41), Currency and contracts (33), Foreign exchange markets (30).</w:t>
      </w:r>
    </w:p>
    <w:p w:rsidR="00000000" w:rsidDel="00000000" w:rsidP="00000000" w:rsidRDefault="00000000" w:rsidRPr="00000000" w14:paraId="00000010">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 of finance:</w:t>
      </w:r>
      <w:r w:rsidDel="00000000" w:rsidR="00000000" w:rsidRPr="00000000">
        <w:rPr>
          <w:rFonts w:ascii="Times New Roman" w:cs="Times New Roman" w:eastAsia="Times New Roman" w:hAnsi="Times New Roman"/>
          <w:sz w:val="24"/>
          <w:szCs w:val="24"/>
          <w:rtl w:val="0"/>
        </w:rPr>
        <w:t xml:space="preserve"> Microeconomics (187), Statistics (121), Marxist economics (109).</w:t>
      </w:r>
    </w:p>
    <w:p w:rsidR="00000000" w:rsidDel="00000000" w:rsidP="00000000" w:rsidRDefault="00000000" w:rsidRPr="00000000" w14:paraId="00000011">
      <w:pPr>
        <w:numPr>
          <w:ilvl w:val="0"/>
          <w:numId w:val="1"/>
        </w:numPr>
        <w:spacing w:after="0" w:afterAutospacing="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 issues:</w:t>
      </w:r>
      <w:r w:rsidDel="00000000" w:rsidR="00000000" w:rsidRPr="00000000">
        <w:rPr>
          <w:rFonts w:ascii="Times New Roman" w:cs="Times New Roman" w:eastAsia="Times New Roman" w:hAnsi="Times New Roman"/>
          <w:sz w:val="24"/>
          <w:szCs w:val="24"/>
          <w:rtl w:val="0"/>
        </w:rPr>
        <w:t xml:space="preserve"> Law and society (72), Compliance with legal regulations (43), Legal sanctions (37), Debt collection (37), Property rights (35), Customs (31), Court (22), Intellectual property rights (20), Antimonopoly legislation (20), Government regulations (17), Regulation and supervision (12).</w:t>
      </w:r>
    </w:p>
    <w:p w:rsidR="00000000" w:rsidDel="00000000" w:rsidP="00000000" w:rsidRDefault="00000000" w:rsidRPr="00000000" w14:paraId="00000012">
      <w:pPr>
        <w:numPr>
          <w:ilvl w:val="0"/>
          <w:numId w:val="1"/>
        </w:numPr>
        <w:spacing w:after="160" w:line="240" w:lineRule="auto"/>
        <w:ind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w:t>
      </w:r>
      <w:r w:rsidDel="00000000" w:rsidR="00000000" w:rsidRPr="00000000">
        <w:rPr>
          <w:rFonts w:ascii="Times New Roman" w:cs="Times New Roman" w:eastAsia="Times New Roman" w:hAnsi="Times New Roman"/>
          <w:sz w:val="24"/>
          <w:szCs w:val="24"/>
          <w:rtl w:val="0"/>
        </w:rPr>
        <w:t xml:space="preserve"> Mobile systems (220), Gold (51), Deception (46), Non-performance of work (20).</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