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Washington County Federal Fiscal Balance Project</w:t>
      </w:r>
    </w:p>
    <w:p>
      <w:pPr>
        <w:jc w:val="center"/>
      </w:pPr>
      <w:r>
        <w:rPr>
          <w:b/>
          <w:sz w:val="26"/>
        </w:rPr>
        <w:t>Dataset Coverage &amp; Project Status — August 12, 2026</w:t>
      </w:r>
    </w:p>
    <w:p>
      <w:r>
        <w:rPr>
          <w:b/>
        </w:rPr>
        <w:t xml:space="preserve">Objective. </w:t>
      </w:r>
      <w:r>
        <w:t>Construct a transparent, reproducible annual balance of payments for each of Washington’s 39 counties: federal taxes originating from the county versus federal expenditures attributable to the county. Principal analytical window: FY2015–FY2024. Guiding principle: “Measure first. Explain later.”</w:t>
      </w:r>
    </w:p>
    <w:p>
      <w:pPr>
        <w:pStyle w:val="Heading1"/>
      </w:pPr>
      <w:r>
        <w:t>1. Executive assessment</w:t>
      </w:r>
    </w:p>
    <w:p>
      <w:r>
        <w:t>The project is beyond proof-of-concept. Core database geography, provenance, normalization, validation, certification, and evidence-package architecture are operational. The central task is now closing the year-by-category coverage matrix rather than designing the platform itself.</w:t>
      </w:r>
    </w:p>
    <w:p>
      <w:pPr>
        <w:pStyle w:val="ListBullet"/>
      </w:pPr>
      <w:r>
        <w:rPr>
          <w:b/>
        </w:rPr>
        <w:t xml:space="preserve">Reference geography: </w:t>
      </w:r>
      <w:r>
        <w:t>57 state/territory records and all 39 Washington counties are loaded and validated.</w:t>
      </w:r>
    </w:p>
    <w:p>
      <w:pPr>
        <w:pStyle w:val="ListBullet"/>
      </w:pPr>
      <w:r>
        <w:rPr>
          <w:b/>
        </w:rPr>
        <w:t xml:space="preserve">Federal receipts: </w:t>
      </w:r>
      <w:r>
        <w:t>IRS SOI county data are validated for 2015–2022. Final state receipt controls, 2023–2024 SOI coverage, and the definitive county receipt-allocation methodology remain open.</w:t>
      </w:r>
    </w:p>
    <w:p>
      <w:pPr>
        <w:pStyle w:val="ListBullet"/>
      </w:pPr>
      <w:r>
        <w:rPr>
          <w:b/>
        </w:rPr>
        <w:t xml:space="preserve">Social Security: </w:t>
      </w:r>
      <w:r>
        <w:t>SSA OASDI county benefits are validated across 2015–2024, covering all 39 counties and nine benefit types.</w:t>
      </w:r>
    </w:p>
    <w:p>
      <w:pPr>
        <w:pStyle w:val="ListBullet"/>
      </w:pPr>
      <w:r>
        <w:rPr>
          <w:b/>
        </w:rPr>
        <w:t xml:space="preserve">Procurement: </w:t>
      </w:r>
      <w:r>
        <w:t>FY2024 is the first fully certified county expenditure dataset: 120,813 transactions, 111,083 awards, all 39 counties, and $15.3553 billion in federal action obligations. Certification passed 37 checks with zero failures and one documented warning.</w:t>
      </w:r>
    </w:p>
    <w:p>
      <w:pPr>
        <w:pStyle w:val="ListBullet"/>
      </w:pPr>
      <w:r>
        <w:rPr>
          <w:b/>
        </w:rPr>
        <w:t xml:space="preserve">Assistance: </w:t>
      </w:r>
      <w:r>
        <w:t>Raw USAspending assistance acquisition is strong for FY2020–FY2025; normalization and certification remain.</w:t>
      </w:r>
    </w:p>
    <w:p>
      <w:pPr>
        <w:pStyle w:val="ListBullet"/>
      </w:pPr>
      <w:r>
        <w:rPr>
          <w:b/>
        </w:rPr>
        <w:t xml:space="preserve">Current USAspending interruption: </w:t>
      </w:r>
      <w:r>
        <w:t>FY2020 procurement target population is independently confirmed at 110,244 transactions. 49,900 paged diagnostic records are preserved, but the preferred native export is being retained as the production acquisition method while USAspending returns repeated HTTP 503 errors.</w:t>
      </w:r>
    </w:p>
    <w:p>
      <w:pPr>
        <w:pStyle w:val="ListBullet"/>
      </w:pPr>
      <w:r>
        <w:rPr>
          <w:b/>
        </w:rPr>
        <w:t xml:space="preserve">Largest remaining gaps: </w:t>
      </w:r>
      <w:r>
        <w:t>Veterans benefits; federal civilian and military compensation; federal and military retirement; SSI and other direct payments; pre-2020 assistance; historical procurement; Medicare Advantage; and county allocation for state-only program totals.</w:t>
      </w:r>
    </w:p>
    <w:p>
      <w:pPr>
        <w:sectPr>
          <w:pgSz w:w="12240" w:h="15840"/>
          <w:pgMar w:top="792" w:right="864" w:bottom="792" w:left="864" w:header="720" w:footer="720" w:gutter="0"/>
          <w:cols w:space="720"/>
          <w:docGrid w:linePitch="360"/>
        </w:sectPr>
      </w:pPr>
    </w:p>
    <w:p>
      <w:pPr>
        <w:pStyle w:val="Heading1"/>
      </w:pPr>
      <w:r>
        <w:t>2. Master FY2015–FY2024 coverage matrix</w:t>
      </w:r>
    </w:p>
    <w:tbl>
      <w:tblPr>
        <w:tblStyle w:val="TableGrid"/>
        <w:tblW w:type="auto" w:w="0"/>
        <w:jc w:val="center"/>
        <w:tblLook w:firstColumn="1" w:firstRow="1" w:lastColumn="0" w:lastRow="0" w:noHBand="0" w:noVBand="1" w:val="04A0"/>
      </w:tblPr>
      <w:tblGrid>
        <w:gridCol w:w="1335"/>
        <w:gridCol w:w="1335"/>
        <w:gridCol w:w="1335"/>
        <w:gridCol w:w="1335"/>
        <w:gridCol w:w="1335"/>
        <w:gridCol w:w="1335"/>
        <w:gridCol w:w="1335"/>
        <w:gridCol w:w="1335"/>
        <w:gridCol w:w="1335"/>
        <w:gridCol w:w="1335"/>
        <w:gridCol w:w="1335"/>
      </w:tblGrid>
      <w:tr>
        <w:tc>
          <w:tcPr>
            <w:tcW w:type="dxa" w:w="3240"/>
            <w:vAlign w:val="center"/>
            <w:shd w:fill="1F4E78"/>
          </w:tcPr>
          <w:p>
            <w:r/>
            <w:r>
              <w:rPr>
                <w:b/>
                <w:color w:val="FFFFFF"/>
                <w:sz w:val="14"/>
              </w:rPr>
              <w:t>Dataset</w:t>
            </w:r>
          </w:p>
        </w:tc>
        <w:tc>
          <w:tcPr>
            <w:tcW w:type="dxa" w:w="979"/>
            <w:vAlign w:val="center"/>
            <w:shd w:fill="1F4E78"/>
          </w:tcPr>
          <w:p>
            <w:r/>
            <w:r>
              <w:rPr>
                <w:b/>
                <w:color w:val="FFFFFF"/>
                <w:sz w:val="14"/>
              </w:rPr>
              <w:t>2015</w:t>
            </w:r>
          </w:p>
        </w:tc>
        <w:tc>
          <w:tcPr>
            <w:tcW w:type="dxa" w:w="979"/>
            <w:vAlign w:val="center"/>
            <w:shd w:fill="1F4E78"/>
          </w:tcPr>
          <w:p>
            <w:r/>
            <w:r>
              <w:rPr>
                <w:b/>
                <w:color w:val="FFFFFF"/>
                <w:sz w:val="14"/>
              </w:rPr>
              <w:t>2016</w:t>
            </w:r>
          </w:p>
        </w:tc>
        <w:tc>
          <w:tcPr>
            <w:tcW w:type="dxa" w:w="979"/>
            <w:vAlign w:val="center"/>
            <w:shd w:fill="1F4E78"/>
          </w:tcPr>
          <w:p>
            <w:r/>
            <w:r>
              <w:rPr>
                <w:b/>
                <w:color w:val="FFFFFF"/>
                <w:sz w:val="14"/>
              </w:rPr>
              <w:t>2017</w:t>
            </w:r>
          </w:p>
        </w:tc>
        <w:tc>
          <w:tcPr>
            <w:tcW w:type="dxa" w:w="979"/>
            <w:vAlign w:val="center"/>
            <w:shd w:fill="1F4E78"/>
          </w:tcPr>
          <w:p>
            <w:r/>
            <w:r>
              <w:rPr>
                <w:b/>
                <w:color w:val="FFFFFF"/>
                <w:sz w:val="14"/>
              </w:rPr>
              <w:t>2018</w:t>
            </w:r>
          </w:p>
        </w:tc>
        <w:tc>
          <w:tcPr>
            <w:tcW w:type="dxa" w:w="979"/>
            <w:vAlign w:val="center"/>
            <w:shd w:fill="1F4E78"/>
          </w:tcPr>
          <w:p>
            <w:r/>
            <w:r>
              <w:rPr>
                <w:b/>
                <w:color w:val="FFFFFF"/>
                <w:sz w:val="14"/>
              </w:rPr>
              <w:t>2019</w:t>
            </w:r>
          </w:p>
        </w:tc>
        <w:tc>
          <w:tcPr>
            <w:tcW w:type="dxa" w:w="979"/>
            <w:vAlign w:val="center"/>
            <w:shd w:fill="1F4E78"/>
          </w:tcPr>
          <w:p>
            <w:r/>
            <w:r>
              <w:rPr>
                <w:b/>
                <w:color w:val="FFFFFF"/>
                <w:sz w:val="14"/>
              </w:rPr>
              <w:t>2020</w:t>
            </w:r>
          </w:p>
        </w:tc>
        <w:tc>
          <w:tcPr>
            <w:tcW w:type="dxa" w:w="979"/>
            <w:vAlign w:val="center"/>
            <w:shd w:fill="1F4E78"/>
          </w:tcPr>
          <w:p>
            <w:r/>
            <w:r>
              <w:rPr>
                <w:b/>
                <w:color w:val="FFFFFF"/>
                <w:sz w:val="14"/>
              </w:rPr>
              <w:t>2021</w:t>
            </w:r>
          </w:p>
        </w:tc>
        <w:tc>
          <w:tcPr>
            <w:tcW w:type="dxa" w:w="979"/>
            <w:vAlign w:val="center"/>
            <w:shd w:fill="1F4E78"/>
          </w:tcPr>
          <w:p>
            <w:r/>
            <w:r>
              <w:rPr>
                <w:b/>
                <w:color w:val="FFFFFF"/>
                <w:sz w:val="14"/>
              </w:rPr>
              <w:t>2022</w:t>
            </w:r>
          </w:p>
        </w:tc>
        <w:tc>
          <w:tcPr>
            <w:tcW w:type="dxa" w:w="979"/>
            <w:vAlign w:val="center"/>
            <w:shd w:fill="1F4E78"/>
          </w:tcPr>
          <w:p>
            <w:r/>
            <w:r>
              <w:rPr>
                <w:b/>
                <w:color w:val="FFFFFF"/>
                <w:sz w:val="14"/>
              </w:rPr>
              <w:t>2023</w:t>
            </w:r>
          </w:p>
        </w:tc>
        <w:tc>
          <w:tcPr>
            <w:tcW w:type="dxa" w:w="979"/>
            <w:vAlign w:val="center"/>
            <w:shd w:fill="1F4E78"/>
          </w:tcPr>
          <w:p>
            <w:r/>
            <w:r>
              <w:rPr>
                <w:b/>
                <w:color w:val="FFFFFF"/>
                <w:sz w:val="14"/>
              </w:rPr>
              <w:t>2024</w:t>
            </w:r>
          </w:p>
        </w:tc>
      </w:tr>
      <w:tr>
        <w:tc>
          <w:tcPr>
            <w:tcW w:type="dxa" w:w="3240"/>
            <w:vAlign w:val="center"/>
          </w:tcPr>
          <w:p>
            <w:r/>
            <w:r>
              <w:rPr>
                <w:b/>
                <w:sz w:val="13"/>
              </w:rPr>
              <w:t>IRS SOI county tax data</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IRS Data Book Table 5</w:t>
            </w:r>
          </w:p>
        </w:tc>
        <w:tc>
          <w:tcPr>
            <w:tcW w:type="dxa" w:w="979"/>
            <w:vAlign w:val="center"/>
            <w:shd w:fill="E2F0D9"/>
          </w:tcPr>
          <w:p>
            <w:r/>
            <w:r>
              <w:rPr>
                <w:b w:val="0"/>
                <w:sz w:val="12"/>
              </w:rPr>
              <w:t>VAL</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FF2CC"/>
          </w:tcPr>
          <w:p>
            <w:r/>
            <w:r>
              <w:rPr>
                <w:b w:val="0"/>
                <w:sz w:val="12"/>
              </w:rPr>
              <w:t>LOAD</w:t>
            </w:r>
          </w:p>
        </w:tc>
        <w:tc>
          <w:tcPr>
            <w:tcW w:type="dxa" w:w="979"/>
            <w:vAlign w:val="center"/>
            <w:shd w:fill="F4CCCC"/>
          </w:tcPr>
          <w:p>
            <w:r/>
            <w:r>
              <w:rPr>
                <w:b w:val="0"/>
                <w:sz w:val="12"/>
              </w:rPr>
              <w:t>NS</w:t>
            </w:r>
          </w:p>
        </w:tc>
        <w:tc>
          <w:tcPr>
            <w:tcW w:type="dxa" w:w="979"/>
            <w:vAlign w:val="center"/>
            <w:shd w:fill="FFF2CC"/>
          </w:tcPr>
          <w:p>
            <w:r/>
            <w:r>
              <w:rPr>
                <w:b w:val="0"/>
                <w:sz w:val="12"/>
              </w:rPr>
              <w:t>LOAD</w:t>
            </w:r>
          </w:p>
        </w:tc>
        <w:tc>
          <w:tcPr>
            <w:tcW w:type="dxa" w:w="979"/>
            <w:vAlign w:val="center"/>
            <w:shd w:fill="F4CCCC"/>
          </w:tcPr>
          <w:p>
            <w:r/>
            <w:r>
              <w:rPr>
                <w:b w:val="0"/>
                <w:sz w:val="12"/>
              </w:rPr>
              <w:t>NS</w:t>
            </w:r>
          </w:p>
        </w:tc>
        <w:tc>
          <w:tcPr>
            <w:tcW w:type="dxa" w:w="979"/>
            <w:vAlign w:val="center"/>
            <w:shd w:fill="FFF2CC"/>
          </w:tcPr>
          <w:p>
            <w:r/>
            <w:r>
              <w:rPr>
                <w:b w:val="0"/>
                <w:sz w:val="12"/>
              </w:rPr>
              <w:t>LOAD</w:t>
            </w:r>
          </w:p>
        </w:tc>
      </w:tr>
      <w:tr>
        <w:tc>
          <w:tcPr>
            <w:tcW w:type="dxa" w:w="3240"/>
            <w:vAlign w:val="center"/>
          </w:tcPr>
          <w:p>
            <w:r/>
            <w:r>
              <w:rPr>
                <w:b/>
                <w:sz w:val="13"/>
              </w:rPr>
              <w:t>SSA OASDI county benefits</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c>
          <w:tcPr>
            <w:tcW w:type="dxa" w:w="979"/>
            <w:vAlign w:val="center"/>
            <w:shd w:fill="E2F0D9"/>
          </w:tcPr>
          <w:p>
            <w:r/>
            <w:r>
              <w:rPr>
                <w:b w:val="0"/>
                <w:sz w:val="12"/>
              </w:rPr>
              <w:t>VAL</w:t>
            </w:r>
          </w:p>
        </w:tc>
      </w:tr>
      <w:tr>
        <w:tc>
          <w:tcPr>
            <w:tcW w:type="dxa" w:w="3240"/>
            <w:vAlign w:val="center"/>
          </w:tcPr>
          <w:p>
            <w:r/>
            <w:r>
              <w:rPr>
                <w:b/>
                <w:sz w:val="13"/>
              </w:rPr>
              <w:t>Medicare</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r>
      <w:tr>
        <w:tc>
          <w:tcPr>
            <w:tcW w:type="dxa" w:w="3240"/>
            <w:vAlign w:val="center"/>
          </w:tcPr>
          <w:p>
            <w:r/>
            <w:r>
              <w:rPr>
                <w:b/>
                <w:sz w:val="13"/>
              </w:rPr>
              <w:t>Medicaid</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r>
      <w:tr>
        <w:tc>
          <w:tcPr>
            <w:tcW w:type="dxa" w:w="3240"/>
            <w:vAlign w:val="center"/>
          </w:tcPr>
          <w:p>
            <w:r/>
            <w:r>
              <w:rPr>
                <w:b/>
                <w:sz w:val="13"/>
              </w:rPr>
              <w:t>CHIP</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r>
      <w:tr>
        <w:tc>
          <w:tcPr>
            <w:tcW w:type="dxa" w:w="3240"/>
            <w:vAlign w:val="center"/>
          </w:tcPr>
          <w:p>
            <w:r/>
            <w:r>
              <w:rPr>
                <w:b/>
                <w:sz w:val="13"/>
              </w:rPr>
              <w:t>Procurement/contracts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CE4D6"/>
          </w:tcPr>
          <w:p>
            <w:r/>
            <w:r>
              <w:rPr>
                <w:b w:val="0"/>
                <w:sz w:val="12"/>
              </w:rPr>
              <w:t>PART</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C6E0B4"/>
          </w:tcPr>
          <w:p>
            <w:r/>
            <w:r>
              <w:rPr>
                <w:b w:val="0"/>
                <w:sz w:val="12"/>
              </w:rPr>
              <w:t>CERT</w:t>
            </w:r>
          </w:p>
        </w:tc>
      </w:tr>
      <w:tr>
        <w:tc>
          <w:tcPr>
            <w:tcW w:type="dxa" w:w="3240"/>
            <w:vAlign w:val="center"/>
          </w:tcPr>
          <w:p>
            <w:r/>
            <w:r>
              <w:rPr>
                <w:b/>
                <w:sz w:val="13"/>
              </w:rPr>
              <w:t>Grants/assistance</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DDEBF7"/>
          </w:tcPr>
          <w:p>
            <w:r/>
            <w:r>
              <w:rPr>
                <w:b w:val="0"/>
                <w:sz w:val="12"/>
              </w:rPr>
              <w:t>ACQ</w:t>
            </w:r>
          </w:p>
        </w:tc>
        <w:tc>
          <w:tcPr>
            <w:tcW w:type="dxa" w:w="979"/>
            <w:vAlign w:val="center"/>
            <w:shd w:fill="DDEBF7"/>
          </w:tcPr>
          <w:p>
            <w:r/>
            <w:r>
              <w:rPr>
                <w:b w:val="0"/>
                <w:sz w:val="12"/>
              </w:rPr>
              <w:t>ACQ</w:t>
            </w:r>
          </w:p>
        </w:tc>
        <w:tc>
          <w:tcPr>
            <w:tcW w:type="dxa" w:w="979"/>
            <w:vAlign w:val="center"/>
            <w:shd w:fill="DDEBF7"/>
          </w:tcPr>
          <w:p>
            <w:r/>
            <w:r>
              <w:rPr>
                <w:b w:val="0"/>
                <w:sz w:val="12"/>
              </w:rPr>
              <w:t>ACQ</w:t>
            </w:r>
          </w:p>
        </w:tc>
        <w:tc>
          <w:tcPr>
            <w:tcW w:type="dxa" w:w="979"/>
            <w:vAlign w:val="center"/>
            <w:shd w:fill="DDEBF7"/>
          </w:tcPr>
          <w:p>
            <w:r/>
            <w:r>
              <w:rPr>
                <w:b w:val="0"/>
                <w:sz w:val="12"/>
              </w:rPr>
              <w:t>ACQ</w:t>
            </w:r>
          </w:p>
        </w:tc>
        <w:tc>
          <w:tcPr>
            <w:tcW w:type="dxa" w:w="979"/>
            <w:vAlign w:val="center"/>
            <w:shd w:fill="DDEBF7"/>
          </w:tcPr>
          <w:p>
            <w:r/>
            <w:r>
              <w:rPr>
                <w:b w:val="0"/>
                <w:sz w:val="12"/>
              </w:rPr>
              <w:t>ACQ</w:t>
            </w:r>
          </w:p>
        </w:tc>
      </w:tr>
      <w:tr>
        <w:tc>
          <w:tcPr>
            <w:tcW w:type="dxa" w:w="3240"/>
            <w:vAlign w:val="center"/>
          </w:tcPr>
          <w:p>
            <w:r/>
            <w:r>
              <w:rPr>
                <w:b/>
                <w:sz w:val="13"/>
              </w:rPr>
              <w:t>Veterans benefits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Federal civilian wages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Active-duty military wages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Federal civilian retirement</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Military retirement</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SSI</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Nutrition assistance</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Housing assistance</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Education/student assistance</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Refundable credits/direct payments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Other federal direct payments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c>
          <w:tcPr>
            <w:tcW w:type="dxa" w:w="979"/>
            <w:vAlign w:val="center"/>
            <w:shd w:fill="F4CCCC"/>
          </w:tcPr>
          <w:p>
            <w:r/>
            <w:r>
              <w:rPr>
                <w:b w:val="0"/>
                <w:sz w:val="12"/>
              </w:rPr>
              <w:t>NS</w:t>
            </w:r>
          </w:p>
        </w:tc>
      </w:tr>
      <w:tr>
        <w:tc>
          <w:tcPr>
            <w:tcW w:type="dxa" w:w="3240"/>
            <w:vAlign w:val="center"/>
          </w:tcPr>
          <w:p>
            <w:r/>
            <w:r>
              <w:rPr>
                <w:b/>
                <w:sz w:val="13"/>
              </w:rPr>
              <w:t>Census PEP population controls</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c>
          <w:tcPr>
            <w:tcW w:type="dxa" w:w="979"/>
            <w:vAlign w:val="center"/>
            <w:shd w:fill="E4DFEC"/>
          </w:tcPr>
          <w:p>
            <w:r/>
            <w:r>
              <w:rPr>
                <w:b w:val="0"/>
                <w:sz w:val="12"/>
              </w:rPr>
              <w:t>DEV</w:t>
            </w:r>
          </w:p>
        </w:tc>
      </w:tr>
      <w:tr>
        <w:tc>
          <w:tcPr>
            <w:tcW w:type="dxa" w:w="3240"/>
            <w:vAlign w:val="center"/>
          </w:tcPr>
          <w:p>
            <w:r/>
            <w:r>
              <w:rPr>
                <w:b/>
                <w:sz w:val="13"/>
              </w:rPr>
              <w:t>Rockefeller state BOP benchmark</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c>
          <w:tcPr>
            <w:tcW w:type="dxa" w:w="979"/>
            <w:vAlign w:val="center"/>
            <w:shd w:fill="FCE4D6"/>
          </w:tcPr>
          <w:p>
            <w:r/>
            <w:r>
              <w:rPr>
                <w:b w:val="0"/>
                <w:sz w:val="12"/>
              </w:rPr>
              <w:t>PART</w:t>
            </w:r>
          </w:p>
        </w:tc>
      </w:tr>
    </w:tbl>
    <w:p>
      <w:r>
        <w:rPr>
          <w:b/>
        </w:rPr>
        <w:t xml:space="preserve">Legend: </w:t>
      </w:r>
      <w:r>
        <w:t>CERT = certified; VAL = validated; LOAD = loaded; ACQ = raw data acquired; PART = partial population; DEV = implementation/method exists but exact annual closure or certification remains; NS = not started.</w:t>
      </w:r>
    </w:p>
    <w:p>
      <w:pPr>
        <w:sectPr>
          <w:pgSz w:w="15840" w:h="12240" w:orient="landscape"/>
          <w:pgMar w:top="648" w:right="576" w:bottom="648" w:left="576" w:header="720" w:footer="720" w:gutter="0"/>
          <w:cols w:space="720"/>
          <w:docGrid w:linePitch="360"/>
        </w:sectPr>
      </w:pPr>
    </w:p>
    <w:p>
      <w:pPr>
        <w:pStyle w:val="Heading1"/>
      </w:pPr>
      <w:r>
        <w:t>3. Interpretation and next milestones</w:t>
      </w:r>
    </w:p>
    <w:p>
      <w:r>
        <w:rPr>
          <w:b/>
        </w:rPr>
        <w:t xml:space="preserve">Receipts are not yet final. </w:t>
      </w:r>
      <w:r>
        <w:t>County IRS SOI provides the geographic basis, but it is not by itself a complete measure of all federal receipts. Annual statewide receipt controls and the final allocation/reconciliation method must be completed before publishing county balances.</w:t>
      </w:r>
    </w:p>
    <w:p>
      <w:r>
        <w:rPr>
          <w:b/>
        </w:rPr>
        <w:t xml:space="preserve">Expenditure coverage is uneven but increasingly operational. </w:t>
      </w:r>
      <w:r>
        <w:t>OASDI county data are validated, Medicare/Medicaid/CHIP reporting infrastructure exists, FY2024 procurement is certified, and assistance raw acquisition is strong for FY2020 onward. Major Rockefeller-style categories remain to be built.</w:t>
      </w:r>
    </w:p>
    <w:p>
      <w:r>
        <w:rPr>
          <w:b/>
        </w:rPr>
        <w:t xml:space="preserve">COVID spending remains an explicit analytical dimension. </w:t>
      </w:r>
      <w:r>
        <w:t>COVID and extraordinary awards/transactions are preserved rather than deleted. The intended output supports both inclusive and COVID-excluded views wherever feasible.</w:t>
      </w:r>
    </w:p>
    <w:p>
      <w:r>
        <w:rPr>
          <w:b/>
        </w:rPr>
        <w:t xml:space="preserve">Rockefeller is a benchmark, not a county source. </w:t>
      </w:r>
      <w:r>
        <w:t>The Rockefeller State Balance of Payments series is being used to test statewide completeness and reconciliation of the independently constructed Washington totals before strong confidence is placed in the sum of county allocations.</w:t>
      </w:r>
    </w:p>
    <w:p>
      <w:r>
        <w:rPr>
          <w:b/>
        </w:rPr>
        <w:t xml:space="preserve">The final 39-county balance calculation is not yet appropriate. </w:t>
      </w:r>
      <w:r>
        <w:t>It should be produced only after required receipt and expenditure categories achieve adequate annual coverage and the state-to-county reconciliation checks pass.</w:t>
      </w:r>
    </w:p>
    <w:p>
      <w:pPr>
        <w:pStyle w:val="Heading1"/>
      </w:pPr>
      <w:r>
        <w:t>4. Immediate project-control priorities</w:t>
      </w:r>
    </w:p>
    <w:p>
      <w:pPr>
        <w:pStyle w:val="ListNumber"/>
      </w:pPr>
      <w:r>
        <w:t>Complete and certify the FY2015–FY2024 federal-receipts control series and acquire/validate IRS SOI 2023–2024.</w:t>
      </w:r>
    </w:p>
    <w:p>
      <w:pPr>
        <w:pStyle w:val="ListNumber"/>
      </w:pPr>
      <w:r>
        <w:t>Resume native USAspending procurement acquisition when service stabilizes; certify FY2015–FY2023 using the FY2024 production architecture.</w:t>
      </w:r>
    </w:p>
    <w:p>
      <w:pPr>
        <w:pStyle w:val="ListNumber"/>
      </w:pPr>
      <w:r>
        <w:t>Normalize and certify USAspending assistance FY2020–FY2024; acquire FY2015–FY2019.</w:t>
      </w:r>
    </w:p>
    <w:p>
      <w:pPr>
        <w:pStyle w:val="ListNumber"/>
      </w:pPr>
      <w:r>
        <w:t>Build Veterans, federal/military compensation, retirement, SSI, and remaining direct-payment domains.</w:t>
      </w:r>
    </w:p>
    <w:p>
      <w:pPr>
        <w:pStyle w:val="ListNumber"/>
      </w:pPr>
      <w:r>
        <w:t>Close Medicare Advantage and state-to-county allocation gaps for Medicare/Medicaid/CHIP where applicable.</w:t>
      </w:r>
    </w:p>
    <w:p>
      <w:pPr>
        <w:pStyle w:val="ListNumber"/>
      </w:pPr>
      <w:r>
        <w:t>Complete the Rockefeller master evidence series and reconcile independently constructed Washington statewide totals.</w:t>
      </w:r>
    </w:p>
    <w:p>
      <w:pPr>
        <w:pStyle w:val="ListNumber"/>
      </w:pPr>
      <w:r>
        <w:t>Keep the coverage matrix as the permanent project-control record, changing a status only when supporting evidence exists.</w:t>
      </w:r>
    </w:p>
    <w:p>
      <w:r>
        <w:rPr>
          <w:b/>
        </w:rPr>
        <w:t xml:space="preserve">Status-control note. </w:t>
      </w:r>
      <w:r>
        <w:t>“DEVELOPED” and “PARTIAL” are deliberately conservative labels where implementation or evidence exists but exact annual coverage, county allocation, or final certification has not yet been closed. This avoids overstating completion.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