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Transfigure fixture — Café naïve 42</w:t>
      </w:r>
    </w:p>
    <w:p>
      <w:pPr>
        <w:pStyle w:val="BodyText"/>
        <w:bidi w:val="0"/>
        <w:jc w:val="left"/>
        <w:rPr/>
      </w:pPr>
      <w:r>
        <w:rPr/>
        <w:t xml:space="preserve">A paragraph with </w:t>
      </w:r>
      <w:r>
        <w:rPr>
          <w:rStyle w:val="Strong"/>
        </w:rPr>
        <w:t>bold</w:t>
      </w:r>
      <w:r>
        <w:rPr/>
        <w:t xml:space="preserve">, </w:t>
      </w:r>
      <w:r>
        <w:rPr>
          <w:rStyle w:val="Emphasis"/>
        </w:rPr>
        <w:t>italic</w:t>
      </w:r>
      <w:r>
        <w:rPr/>
        <w:t xml:space="preserve">, </w:t>
      </w:r>
      <w:r>
        <w:rPr>
          <w:rStyle w:val="SourceText"/>
        </w:rPr>
        <w:t>code</w:t>
      </w:r>
      <w:r>
        <w:rPr/>
        <w:t xml:space="preserve"> and a </w:t>
      </w:r>
      <w:hyperlink r:id="rId2">
        <w:r>
          <w:rPr>
            <w:rStyle w:val="Hyperlink"/>
          </w:rPr>
          <w:t>link</w:t>
        </w:r>
      </w:hyperlink>
      <w:r>
        <w:rPr/>
        <w:t>. Ampersand &amp; entity é.</w:t>
      </w:r>
    </w:p>
    <w:p>
      <w:pPr>
        <w:pStyle w:val="Heading2"/>
        <w:bidi w:val="0"/>
        <w:jc w:val="left"/>
        <w:rPr/>
      </w:pPr>
      <w:r>
        <w:rPr/>
        <w:t>Lists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item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 item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One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Two</w:t>
      </w:r>
    </w:p>
    <w:tbl>
      <w:tblPr>
        <w:tblW w:w="18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"/>
        <w:gridCol w:w="90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alpha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rif"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erif" w:hAnsi="serif" w:eastAsia="serif" w:cs="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