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18E00">
      <w:pPr>
        <w:pStyle w:val="31"/>
        <w:jc w:val="center"/>
      </w:pPr>
      <w:r>
        <w:t>长江中下游高温延伸期预测研究流程方案</w:t>
      </w:r>
    </w:p>
    <w:p w14:paraId="112D53FD">
      <w:pPr>
        <w:jc w:val="center"/>
      </w:pPr>
      <w:r>
        <w:rPr>
          <w:b/>
          <w:sz w:val="24"/>
        </w:rPr>
        <w:t>基于 ERA5 多要素、机器学习与可解释人工智能</w:t>
      </w:r>
    </w:p>
    <w:p w14:paraId="529D59F2">
      <w:pPr>
        <w:pStyle w:val="3"/>
      </w:pPr>
      <w:r>
        <w:t>一、研究目标与总体思路</w:t>
      </w:r>
    </w:p>
    <w:p w14:paraId="6F969C16">
      <w:r>
        <w:t>研究拟利用1981—2025年暖季（现阶段重点为5—8月）的长江中下游ERA5资料，构建区域高温强度指标，提取提前1、2、3、4周的大气和陆面前兆信息，建立连续预测模型，并通过独立年份检验模型的泛化能力。随后利用极端阈值评价模型对极端高温的预警能力，最后使用SHAP识别关键预测因子，并结合传统气候诊断分析其物理合理性。</w:t>
      </w:r>
    </w:p>
    <w:p w14:paraId="4D57AB8D">
      <w:pPr>
        <w:pStyle w:val="3"/>
      </w:pPr>
      <w:r>
        <w:t>二、建议采用的完整技术路线</w:t>
      </w:r>
    </w:p>
    <w:p w14:paraId="30695ACD">
      <w:r>
        <w:t>1. 1981—2025年5—8月ERA5数据下载与质量控制</w:t>
      </w:r>
    </w:p>
    <w:p w14:paraId="32026A02">
      <w:r>
        <w:t>2. 计算长江中下游逐日最高气温Tmax，并构建区域Tmax时间序列</w:t>
      </w:r>
    </w:p>
    <w:p w14:paraId="3002BBD0">
      <w:r>
        <w:t>3. 计算气候态、Tmax距平及标准化高温指数H，形成预测目标Y</w:t>
      </w:r>
    </w:p>
    <w:p w14:paraId="277B297A">
      <w:r>
        <w:t>4. 构建提前1、2、3、4周的大气—陆面预测因子X</w:t>
      </w:r>
    </w:p>
    <w:p w14:paraId="60271E35">
      <w:r>
        <w:t>5. 建立Linear Regression、Random Forest Regression和XGBoost Regression模型</w:t>
      </w:r>
    </w:p>
    <w:p w14:paraId="7A53E46D">
      <w:r>
        <w:t>6. 按时间划分训练集、验证集和测试集，比较预测值与真实值</w:t>
      </w:r>
    </w:p>
    <w:p w14:paraId="3D434E70">
      <w:r>
        <w:t>7. 采用MAE、RMSE、相关系数R和R²评价连续预测技巧</w:t>
      </w:r>
    </w:p>
    <w:p w14:paraId="59F01D6E">
      <w:r>
        <w:t>8. 利用90%或95%分位阈值将连续预测结果转换为极端高温预警，并计算Recall、F1等指标</w:t>
      </w:r>
    </w:p>
    <w:p w14:paraId="26B7D4F2">
      <w:r>
        <w:t>9. 使用SHAP分析变量贡献，并通过合成分析、相关/回归和环流诊断验证物理机制</w:t>
      </w:r>
    </w:p>
    <w:p w14:paraId="24C8BAF0">
      <w:pPr>
        <w:pStyle w:val="3"/>
      </w:pPr>
      <w:r>
        <w:t>三、第一阶段：构建预测目标 Y</w:t>
      </w:r>
    </w:p>
    <w:p w14:paraId="5BBC2F0D">
      <w:r>
        <w:t>首先获取1981—2025年5—8月长江中下游区域的2米气温资料。若使用ERA5小时数据，对每个网格逐日取最大值得到Tmax，再计算研究区区域平均或其他能够表征区域高温强度的指标。</w:t>
      </w:r>
    </w:p>
    <w:p w14:paraId="512DDDC6">
      <w:r>
        <w:t>区域平均日最高气温可表示为：</w:t>
      </w:r>
    </w:p>
    <w:p w14:paraId="48F936EC">
      <w:pPr>
        <w:jc w:val="center"/>
      </w:pPr>
      <w:r>
        <w:t>Tmax_region(t) = (1/N) × Σ Tmax_i(t)</w:t>
      </w:r>
    </w:p>
    <w:p w14:paraId="4D18DB38">
      <w:r>
        <w:t>为消除季节内气候背景差异，进一步计算对应日历日的气候态和标准差，并构建Tmax距平及标准化高温指数H：</w:t>
      </w:r>
    </w:p>
    <w:p w14:paraId="16AF3150">
      <w:pPr>
        <w:jc w:val="center"/>
      </w:pPr>
      <w:r>
        <w:t>H(t) = [Tmax_region(t) − Tclim(d)] / σ(d)</w:t>
      </w:r>
    </w:p>
    <w:p w14:paraId="4388842E">
      <w:r>
        <w:t>第一版模型建议优先以H作为连续预测目标。待完整流程跑通后，再增加高温增强幅度ΔH，用于研究高温由一般状态向极端状态发展的增强过程。</w:t>
      </w:r>
    </w:p>
    <w:p w14:paraId="27A24E28">
      <w:pPr>
        <w:pStyle w:val="3"/>
      </w:pPr>
      <w:r>
        <w:t>四、第二阶段：构建提前1—4周预测因子 X</w:t>
      </w:r>
    </w:p>
    <w:p w14:paraId="67D14F2F">
      <w:r>
        <w:t>延伸期预测的关键是严格区分“预测时刻”和“目标时刻”。预测目标时段的高温时，不能使用目标日当天的信息作为预测因子，而应使用提前1—4周的前兆信息。</w:t>
      </w:r>
    </w:p>
    <w:p w14:paraId="3239E948">
      <w:pPr>
        <w:jc w:val="center"/>
      </w:pPr>
      <w:r>
        <w:t>X(t−7) → H(t)</w:t>
      </w:r>
    </w:p>
    <w:p w14:paraId="5C675470">
      <w:pPr>
        <w:jc w:val="center"/>
      </w:pPr>
      <w:r>
        <w:t>X(t−14) → H(t)</w:t>
      </w:r>
    </w:p>
    <w:p w14:paraId="177EDDCE">
      <w:pPr>
        <w:jc w:val="center"/>
      </w:pPr>
      <w:r>
        <w:t>X(t−21) → H(t)</w:t>
      </w:r>
    </w:p>
    <w:p w14:paraId="74279693">
      <w:pPr>
        <w:jc w:val="center"/>
      </w:pPr>
      <w:r>
        <w:t>X(t−28) → H(t)</w:t>
      </w:r>
    </w:p>
    <w:p w14:paraId="7EA520FA">
      <w:r>
        <w:t>第一版模型可优先使用现有数据体系中的T2m/D2m、MSLP、TP、SSRD、SWVL1和AVG_SLHTF等变量。预测因子不一定只取提前某一天的瞬时值，更建议构建前期一段时间的平均、累计或异常状态，例如前期一周累计降水、前期一周平均土壤湿度等，以降低天气尺度噪声并增强物理意义。</w:t>
      </w:r>
    </w:p>
    <w:p w14:paraId="66E07DDC">
      <w:pPr>
        <w:pStyle w:val="3"/>
      </w:pPr>
      <w:r>
        <w:t>五、不同变量的日统计方式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7"/>
        <w:gridCol w:w="3097"/>
        <w:gridCol w:w="3097"/>
      </w:tblGrid>
      <w:tr w14:paraId="39215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</w:tcPr>
          <w:p w14:paraId="21AC3B31">
            <w:pPr>
              <w:spacing w:after="0" w:line="240" w:lineRule="auto"/>
            </w:pPr>
            <w:r>
              <w:t>变量</w:t>
            </w:r>
          </w:p>
        </w:tc>
        <w:tc>
          <w:tcPr>
            <w:tcW w:w="3097" w:type="dxa"/>
          </w:tcPr>
          <w:p w14:paraId="1BC94614">
            <w:pPr>
              <w:spacing w:after="0" w:line="240" w:lineRule="auto"/>
            </w:pPr>
            <w:r>
              <w:t>建议日统计</w:t>
            </w:r>
          </w:p>
        </w:tc>
        <w:tc>
          <w:tcPr>
            <w:tcW w:w="3097" w:type="dxa"/>
          </w:tcPr>
          <w:p w14:paraId="4B27AE4E">
            <w:pPr>
              <w:spacing w:after="0" w:line="240" w:lineRule="auto"/>
            </w:pPr>
            <w:r>
              <w:t>主要意义</w:t>
            </w:r>
          </w:p>
        </w:tc>
      </w:tr>
      <w:tr w14:paraId="5F9D7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0F7CFE3A">
            <w:pPr>
              <w:spacing w:after="0" w:line="240" w:lineRule="auto"/>
            </w:pPr>
            <w:r>
              <w:t>Tmax / T2m</w:t>
            </w:r>
          </w:p>
        </w:tc>
        <w:tc>
          <w:tcPr>
            <w:tcW w:w="3097" w:type="dxa"/>
            <w:vAlign w:val="center"/>
          </w:tcPr>
          <w:p w14:paraId="1855BA2E">
            <w:pPr>
              <w:spacing w:after="0" w:line="240" w:lineRule="auto"/>
            </w:pPr>
            <w:r>
              <w:t>日最高（目标变量）；前期T2m可另行设计</w:t>
            </w:r>
          </w:p>
        </w:tc>
        <w:tc>
          <w:tcPr>
            <w:tcW w:w="3097" w:type="dxa"/>
            <w:vAlign w:val="center"/>
          </w:tcPr>
          <w:p w14:paraId="70A3AAED">
            <w:pPr>
              <w:spacing w:after="0" w:line="240" w:lineRule="auto"/>
            </w:pPr>
            <w:r>
              <w:t>高温强度/前期热状态</w:t>
            </w:r>
          </w:p>
        </w:tc>
      </w:tr>
      <w:tr w14:paraId="1E503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3DF45CB8">
            <w:pPr>
              <w:spacing w:after="0" w:line="240" w:lineRule="auto"/>
            </w:pPr>
            <w:r>
              <w:t>D2m</w:t>
            </w:r>
          </w:p>
        </w:tc>
        <w:tc>
          <w:tcPr>
            <w:tcW w:w="3097" w:type="dxa"/>
            <w:vAlign w:val="center"/>
          </w:tcPr>
          <w:p w14:paraId="1CD0306F">
            <w:pPr>
              <w:spacing w:after="0" w:line="240" w:lineRule="auto"/>
            </w:pPr>
            <w:r>
              <w:t>日平均</w:t>
            </w:r>
          </w:p>
        </w:tc>
        <w:tc>
          <w:tcPr>
            <w:tcW w:w="3097" w:type="dxa"/>
            <w:vAlign w:val="center"/>
          </w:tcPr>
          <w:p w14:paraId="68F2BD14">
            <w:pPr>
              <w:spacing w:after="0" w:line="240" w:lineRule="auto"/>
            </w:pPr>
            <w:r>
              <w:t>近地面湿度条件</w:t>
            </w:r>
          </w:p>
        </w:tc>
      </w:tr>
      <w:tr w14:paraId="02B38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64BFA80C">
            <w:pPr>
              <w:spacing w:after="0" w:line="240" w:lineRule="auto"/>
            </w:pPr>
            <w:r>
              <w:t>MSLP</w:t>
            </w:r>
          </w:p>
        </w:tc>
        <w:tc>
          <w:tcPr>
            <w:tcW w:w="3097" w:type="dxa"/>
            <w:vAlign w:val="center"/>
          </w:tcPr>
          <w:p w14:paraId="2DE9CDC5">
            <w:pPr>
              <w:spacing w:after="0" w:line="240" w:lineRule="auto"/>
            </w:pPr>
            <w:r>
              <w:t>日平均</w:t>
            </w:r>
          </w:p>
        </w:tc>
        <w:tc>
          <w:tcPr>
            <w:tcW w:w="3097" w:type="dxa"/>
            <w:vAlign w:val="center"/>
          </w:tcPr>
          <w:p w14:paraId="5D713A7B">
            <w:pPr>
              <w:spacing w:after="0" w:line="240" w:lineRule="auto"/>
            </w:pPr>
            <w:r>
              <w:t>天气尺度背景</w:t>
            </w:r>
          </w:p>
        </w:tc>
      </w:tr>
      <w:tr w14:paraId="0B3F8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07554562">
            <w:pPr>
              <w:spacing w:after="0" w:line="240" w:lineRule="auto"/>
            </w:pPr>
            <w:r>
              <w:t>TP</w:t>
            </w:r>
          </w:p>
        </w:tc>
        <w:tc>
          <w:tcPr>
            <w:tcW w:w="3097" w:type="dxa"/>
            <w:vAlign w:val="center"/>
          </w:tcPr>
          <w:p w14:paraId="398977C6">
            <w:pPr>
              <w:spacing w:after="0" w:line="240" w:lineRule="auto"/>
            </w:pPr>
            <w:r>
              <w:t>日累计</w:t>
            </w:r>
          </w:p>
        </w:tc>
        <w:tc>
          <w:tcPr>
            <w:tcW w:w="3097" w:type="dxa"/>
            <w:vAlign w:val="center"/>
          </w:tcPr>
          <w:p w14:paraId="726EC723">
            <w:pPr>
              <w:spacing w:after="0" w:line="240" w:lineRule="auto"/>
            </w:pPr>
            <w:r>
              <w:t>前期降水与干湿状态</w:t>
            </w:r>
          </w:p>
        </w:tc>
      </w:tr>
      <w:tr w14:paraId="46451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0435D4E7">
            <w:pPr>
              <w:spacing w:after="0" w:line="240" w:lineRule="auto"/>
            </w:pPr>
            <w:r>
              <w:t>SSRD</w:t>
            </w:r>
          </w:p>
        </w:tc>
        <w:tc>
          <w:tcPr>
            <w:tcW w:w="3097" w:type="dxa"/>
            <w:vAlign w:val="center"/>
          </w:tcPr>
          <w:p w14:paraId="7230F98D">
            <w:pPr>
              <w:spacing w:after="0" w:line="240" w:lineRule="auto"/>
            </w:pPr>
            <w:r>
              <w:t>日累计或日平均，统一口径</w:t>
            </w:r>
          </w:p>
        </w:tc>
        <w:tc>
          <w:tcPr>
            <w:tcW w:w="3097" w:type="dxa"/>
            <w:vAlign w:val="center"/>
          </w:tcPr>
          <w:p w14:paraId="50A08E60">
            <w:pPr>
              <w:spacing w:after="0" w:line="240" w:lineRule="auto"/>
            </w:pPr>
            <w:r>
              <w:t>地表太阳辐射</w:t>
            </w:r>
          </w:p>
        </w:tc>
      </w:tr>
      <w:tr w14:paraId="6905E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325D653B">
            <w:pPr>
              <w:spacing w:after="0" w:line="240" w:lineRule="auto"/>
            </w:pPr>
            <w:r>
              <w:t>SWVL1</w:t>
            </w:r>
          </w:p>
        </w:tc>
        <w:tc>
          <w:tcPr>
            <w:tcW w:w="3097" w:type="dxa"/>
            <w:vAlign w:val="center"/>
          </w:tcPr>
          <w:p w14:paraId="339B0CAE">
            <w:pPr>
              <w:spacing w:after="0" w:line="240" w:lineRule="auto"/>
            </w:pPr>
            <w:r>
              <w:t>日平均</w:t>
            </w:r>
          </w:p>
        </w:tc>
        <w:tc>
          <w:tcPr>
            <w:tcW w:w="3097" w:type="dxa"/>
            <w:vAlign w:val="center"/>
          </w:tcPr>
          <w:p w14:paraId="26C3EAC2">
            <w:pPr>
              <w:spacing w:after="0" w:line="240" w:lineRule="auto"/>
            </w:pPr>
            <w:r>
              <w:t>表层土壤湿度</w:t>
            </w:r>
          </w:p>
        </w:tc>
      </w:tr>
      <w:tr w14:paraId="73853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97" w:type="dxa"/>
            <w:vAlign w:val="center"/>
          </w:tcPr>
          <w:p w14:paraId="7DD3CF89">
            <w:pPr>
              <w:spacing w:after="0" w:line="240" w:lineRule="auto"/>
            </w:pPr>
            <w:r>
              <w:t>AVG_SLHTF</w:t>
            </w:r>
          </w:p>
        </w:tc>
        <w:tc>
          <w:tcPr>
            <w:tcW w:w="3097" w:type="dxa"/>
            <w:vAlign w:val="center"/>
          </w:tcPr>
          <w:p w14:paraId="18D6403E">
            <w:pPr>
              <w:spacing w:after="0" w:line="240" w:lineRule="auto"/>
            </w:pPr>
            <w:r>
              <w:t>日平均</w:t>
            </w:r>
          </w:p>
        </w:tc>
        <w:tc>
          <w:tcPr>
            <w:tcW w:w="3097" w:type="dxa"/>
            <w:vAlign w:val="center"/>
          </w:tcPr>
          <w:p w14:paraId="11A19ED7">
            <w:pPr>
              <w:spacing w:after="0" w:line="240" w:lineRule="auto"/>
            </w:pPr>
            <w:r>
              <w:t>陆面潜热交换</w:t>
            </w:r>
          </w:p>
        </w:tc>
      </w:tr>
    </w:tbl>
    <w:p w14:paraId="447FE04E">
      <w:pPr>
        <w:pStyle w:val="3"/>
      </w:pPr>
      <w:r>
        <w:t>六、机器学习样本表设计</w:t>
      </w:r>
    </w:p>
    <w:p w14:paraId="6DCBA057">
      <w:r>
        <w:t>完成预处理后，应将气象资料转换为按日期组织的机器学习样本表。每一行对应一个目标时段，Y为未来高温指数H，X为与相应提前期对应的前兆特征</w:t>
      </w:r>
      <w:bookmarkStart w:id="0" w:name="_GoBack"/>
      <w:bookmarkEnd w:id="0"/>
      <w:r>
        <w:t>。建议针对1、2、3、4周分别构建数据集。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 w14:paraId="1CDA1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</w:tcPr>
          <w:p w14:paraId="05374833">
            <w:pPr>
              <w:spacing w:after="0" w:line="240" w:lineRule="auto"/>
            </w:pPr>
            <w:r>
              <w:t>日期</w:t>
            </w:r>
          </w:p>
        </w:tc>
        <w:tc>
          <w:tcPr>
            <w:tcW w:w="1161" w:type="dxa"/>
          </w:tcPr>
          <w:p w14:paraId="731F9C0C">
            <w:pPr>
              <w:spacing w:after="0" w:line="240" w:lineRule="auto"/>
            </w:pPr>
            <w:r>
              <w:t>H真实值</w:t>
            </w:r>
          </w:p>
        </w:tc>
        <w:tc>
          <w:tcPr>
            <w:tcW w:w="1161" w:type="dxa"/>
          </w:tcPr>
          <w:p w14:paraId="2BC22AED">
            <w:pPr>
              <w:spacing w:after="0" w:line="240" w:lineRule="auto"/>
            </w:pPr>
            <w:r>
              <w:t>前期T2m</w:t>
            </w:r>
          </w:p>
        </w:tc>
        <w:tc>
          <w:tcPr>
            <w:tcW w:w="1161" w:type="dxa"/>
          </w:tcPr>
          <w:p w14:paraId="69DFE520">
            <w:pPr>
              <w:spacing w:after="0" w:line="240" w:lineRule="auto"/>
            </w:pPr>
            <w:r>
              <w:t>D2m</w:t>
            </w:r>
          </w:p>
        </w:tc>
        <w:tc>
          <w:tcPr>
            <w:tcW w:w="1161" w:type="dxa"/>
          </w:tcPr>
          <w:p w14:paraId="51213BBD">
            <w:pPr>
              <w:spacing w:after="0" w:line="240" w:lineRule="auto"/>
            </w:pPr>
            <w:r>
              <w:t>MSLP</w:t>
            </w:r>
          </w:p>
        </w:tc>
        <w:tc>
          <w:tcPr>
            <w:tcW w:w="1161" w:type="dxa"/>
          </w:tcPr>
          <w:p w14:paraId="723F7D52">
            <w:pPr>
              <w:spacing w:after="0" w:line="240" w:lineRule="auto"/>
            </w:pPr>
            <w:r>
              <w:t>TP</w:t>
            </w:r>
          </w:p>
        </w:tc>
        <w:tc>
          <w:tcPr>
            <w:tcW w:w="1161" w:type="dxa"/>
          </w:tcPr>
          <w:p w14:paraId="4FC1385A">
            <w:pPr>
              <w:spacing w:after="0" w:line="240" w:lineRule="auto"/>
            </w:pPr>
            <w:r>
              <w:t>SSRD</w:t>
            </w:r>
          </w:p>
        </w:tc>
        <w:tc>
          <w:tcPr>
            <w:tcW w:w="1161" w:type="dxa"/>
          </w:tcPr>
          <w:p w14:paraId="3B04F87E">
            <w:pPr>
              <w:spacing w:after="0" w:line="240" w:lineRule="auto"/>
            </w:pPr>
            <w:r>
              <w:t>SWVL1等</w:t>
            </w:r>
          </w:p>
        </w:tc>
      </w:tr>
      <w:tr w14:paraId="1187C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</w:tcPr>
          <w:p w14:paraId="219D7272">
            <w:pPr>
              <w:spacing w:after="0" w:line="240" w:lineRule="auto"/>
            </w:pPr>
            <w:r>
              <w:t>1981-05-15</w:t>
            </w:r>
          </w:p>
        </w:tc>
        <w:tc>
          <w:tcPr>
            <w:tcW w:w="1161" w:type="dxa"/>
          </w:tcPr>
          <w:p w14:paraId="66C8C38D">
            <w:pPr>
              <w:spacing w:after="0" w:line="240" w:lineRule="auto"/>
            </w:pPr>
            <w:r>
              <w:t>0.82</w:t>
            </w:r>
          </w:p>
        </w:tc>
        <w:tc>
          <w:tcPr>
            <w:tcW w:w="1161" w:type="dxa"/>
          </w:tcPr>
          <w:p w14:paraId="64566BD4">
            <w:pPr>
              <w:spacing w:after="0" w:line="240" w:lineRule="auto"/>
            </w:pPr>
            <w:r>
              <w:t>25.1</w:t>
            </w:r>
          </w:p>
        </w:tc>
        <w:tc>
          <w:tcPr>
            <w:tcW w:w="1161" w:type="dxa"/>
          </w:tcPr>
          <w:p w14:paraId="3DC237AE">
            <w:pPr>
              <w:spacing w:after="0" w:line="240" w:lineRule="auto"/>
            </w:pPr>
            <w:r>
              <w:t>289.2</w:t>
            </w:r>
          </w:p>
        </w:tc>
        <w:tc>
          <w:tcPr>
            <w:tcW w:w="1161" w:type="dxa"/>
          </w:tcPr>
          <w:p w14:paraId="6676B413">
            <w:pPr>
              <w:spacing w:after="0" w:line="240" w:lineRule="auto"/>
            </w:pPr>
            <w:r>
              <w:t>1008</w:t>
            </w:r>
          </w:p>
        </w:tc>
        <w:tc>
          <w:tcPr>
            <w:tcW w:w="1161" w:type="dxa"/>
          </w:tcPr>
          <w:p w14:paraId="408DC33E">
            <w:pPr>
              <w:spacing w:after="0" w:line="240" w:lineRule="auto"/>
            </w:pPr>
            <w:r>
              <w:t>3.2</w:t>
            </w:r>
          </w:p>
        </w:tc>
        <w:tc>
          <w:tcPr>
            <w:tcW w:w="1161" w:type="dxa"/>
          </w:tcPr>
          <w:p w14:paraId="50D92321">
            <w:pPr>
              <w:spacing w:after="0" w:line="240" w:lineRule="auto"/>
            </w:pPr>
            <w:r>
              <w:t>18.4</w:t>
            </w:r>
          </w:p>
        </w:tc>
        <w:tc>
          <w:tcPr>
            <w:tcW w:w="1161" w:type="dxa"/>
          </w:tcPr>
          <w:p w14:paraId="6A0F9D6E">
            <w:pPr>
              <w:spacing w:after="0" w:line="240" w:lineRule="auto"/>
            </w:pPr>
            <w:r>
              <w:t>0.26 …</w:t>
            </w:r>
          </w:p>
        </w:tc>
      </w:tr>
      <w:tr w14:paraId="4CA57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61" w:type="dxa"/>
          </w:tcPr>
          <w:p w14:paraId="3336621E">
            <w:pPr>
              <w:spacing w:after="0" w:line="240" w:lineRule="auto"/>
            </w:pPr>
            <w:r>
              <w:t>1981-05-16</w:t>
            </w:r>
          </w:p>
        </w:tc>
        <w:tc>
          <w:tcPr>
            <w:tcW w:w="1161" w:type="dxa"/>
          </w:tcPr>
          <w:p w14:paraId="4402C43D">
            <w:pPr>
              <w:spacing w:after="0" w:line="240" w:lineRule="auto"/>
            </w:pPr>
            <w:r>
              <w:t>1.03</w:t>
            </w:r>
          </w:p>
        </w:tc>
        <w:tc>
          <w:tcPr>
            <w:tcW w:w="1161" w:type="dxa"/>
          </w:tcPr>
          <w:p w14:paraId="6FB8D496">
            <w:pPr>
              <w:spacing w:after="0" w:line="240" w:lineRule="auto"/>
            </w:pPr>
            <w:r>
              <w:t>25.6</w:t>
            </w:r>
          </w:p>
        </w:tc>
        <w:tc>
          <w:tcPr>
            <w:tcW w:w="1161" w:type="dxa"/>
          </w:tcPr>
          <w:p w14:paraId="0629DECB">
            <w:pPr>
              <w:spacing w:after="0" w:line="240" w:lineRule="auto"/>
            </w:pPr>
            <w:r>
              <w:t>290.1</w:t>
            </w:r>
          </w:p>
        </w:tc>
        <w:tc>
          <w:tcPr>
            <w:tcW w:w="1161" w:type="dxa"/>
          </w:tcPr>
          <w:p w14:paraId="7BE7BB25">
            <w:pPr>
              <w:spacing w:after="0" w:line="240" w:lineRule="auto"/>
            </w:pPr>
            <w:r>
              <w:t>1007</w:t>
            </w:r>
          </w:p>
        </w:tc>
        <w:tc>
          <w:tcPr>
            <w:tcW w:w="1161" w:type="dxa"/>
          </w:tcPr>
          <w:p w14:paraId="52AF7FC3">
            <w:pPr>
              <w:spacing w:after="0" w:line="240" w:lineRule="auto"/>
            </w:pPr>
            <w:r>
              <w:t>1.1</w:t>
            </w:r>
          </w:p>
        </w:tc>
        <w:tc>
          <w:tcPr>
            <w:tcW w:w="1161" w:type="dxa"/>
          </w:tcPr>
          <w:p w14:paraId="77DB29DF">
            <w:pPr>
              <w:spacing w:after="0" w:line="240" w:lineRule="auto"/>
            </w:pPr>
            <w:r>
              <w:t>20.3</w:t>
            </w:r>
          </w:p>
        </w:tc>
        <w:tc>
          <w:tcPr>
            <w:tcW w:w="1161" w:type="dxa"/>
          </w:tcPr>
          <w:p w14:paraId="68734478">
            <w:pPr>
              <w:spacing w:after="0" w:line="240" w:lineRule="auto"/>
            </w:pPr>
            <w:r>
              <w:t>0.24 …</w:t>
            </w:r>
          </w:p>
        </w:tc>
      </w:tr>
    </w:tbl>
    <w:p w14:paraId="16A48D00">
      <w:pPr>
        <w:pStyle w:val="3"/>
      </w:pPr>
      <w:r>
        <w:t>七、模型建立：从基线到机器学习</w:t>
      </w:r>
    </w:p>
    <w:p w14:paraId="14A87724">
      <w:r>
        <w:t>第一阶段不建议直接使用LSTM、Transformer等复杂深度学习模型。应先完成三个层次清晰、容易比较和解释的模型：</w:t>
      </w:r>
    </w:p>
    <w:p w14:paraId="056948F1">
      <w:r>
        <w:t>Linear Regression：传统统计基线。</w:t>
      </w:r>
    </w:p>
    <w:p w14:paraId="0B375B30">
      <w:r>
        <w:t>Random Forest Regression：刻画非线性关系。</w:t>
      </w:r>
    </w:p>
    <w:p w14:paraId="48628698">
      <w:r>
        <w:t>XGBoost Regression：作为核心机器学习模型之一。</w:t>
      </w:r>
    </w:p>
    <w:p w14:paraId="70DDA0AB">
      <w:r>
        <w:t>只有当RF或XGBoost在独立测试集上稳定优于线性回归、气候态或持续性预测时，才能更有力地说明机器学习捕捉到了额外的可预测信息。</w:t>
      </w:r>
    </w:p>
    <w:p w14:paraId="18554C40">
      <w:pPr>
        <w:pStyle w:val="3"/>
      </w:pPr>
      <w:r>
        <w:t>八、训练、验证与测试</w:t>
      </w:r>
    </w:p>
    <w:p w14:paraId="5B127E82">
      <w:r>
        <w:t>不能将1981—2025年的相邻日期随机打乱后再划分训练集和测试集，否则容易发生时间信息泄漏。建议按年份或时间块划分。例如可采用以下初始方案，并在后续实验中增加滚动验证：</w:t>
      </w:r>
    </w:p>
    <w:p w14:paraId="543E4FEB">
      <w:r>
        <w:t>1981—2015年：训练集</w:t>
      </w:r>
    </w:p>
    <w:p w14:paraId="46984E3C">
      <w:r>
        <w:t>2016—2020年：验证集</w:t>
      </w:r>
    </w:p>
    <w:p w14:paraId="1392BCB6">
      <w:r>
        <w:t>2021—2025年：独立测试集</w:t>
      </w:r>
    </w:p>
    <w:p w14:paraId="37857F31">
      <w:pPr>
        <w:pStyle w:val="3"/>
      </w:pPr>
      <w:r>
        <w:t>九、预测效果评价</w:t>
      </w:r>
    </w:p>
    <w:p w14:paraId="1F773E2B">
      <w:r>
        <w:t>连续预测主要比较预测H与真实H，可使用MAE、RMSE、相关系数R和R²。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1549"/>
        <w:gridCol w:w="1549"/>
        <w:gridCol w:w="1549"/>
        <w:gridCol w:w="1549"/>
        <w:gridCol w:w="1549"/>
      </w:tblGrid>
      <w:tr w14:paraId="08493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</w:tcPr>
          <w:p w14:paraId="73BDFAD5">
            <w:pPr>
              <w:spacing w:after="0" w:line="240" w:lineRule="auto"/>
            </w:pPr>
            <w:r>
              <w:t>模型</w:t>
            </w:r>
          </w:p>
        </w:tc>
        <w:tc>
          <w:tcPr>
            <w:tcW w:w="1549" w:type="dxa"/>
          </w:tcPr>
          <w:p w14:paraId="365EF68A">
            <w:pPr>
              <w:spacing w:after="0" w:line="240" w:lineRule="auto"/>
            </w:pPr>
            <w:r>
              <w:t>提前期</w:t>
            </w:r>
          </w:p>
        </w:tc>
        <w:tc>
          <w:tcPr>
            <w:tcW w:w="1549" w:type="dxa"/>
          </w:tcPr>
          <w:p w14:paraId="4DE353F2">
            <w:pPr>
              <w:spacing w:after="0" w:line="240" w:lineRule="auto"/>
            </w:pPr>
            <w:r>
              <w:t>RMSE</w:t>
            </w:r>
          </w:p>
        </w:tc>
        <w:tc>
          <w:tcPr>
            <w:tcW w:w="1549" w:type="dxa"/>
          </w:tcPr>
          <w:p w14:paraId="1211361D">
            <w:pPr>
              <w:spacing w:after="0" w:line="240" w:lineRule="auto"/>
            </w:pPr>
            <w:r>
              <w:t>MAE</w:t>
            </w:r>
          </w:p>
        </w:tc>
        <w:tc>
          <w:tcPr>
            <w:tcW w:w="1549" w:type="dxa"/>
          </w:tcPr>
          <w:p w14:paraId="50222BAB">
            <w:pPr>
              <w:spacing w:after="0" w:line="240" w:lineRule="auto"/>
            </w:pPr>
            <w:r>
              <w:t>R</w:t>
            </w:r>
          </w:p>
        </w:tc>
        <w:tc>
          <w:tcPr>
            <w:tcW w:w="1549" w:type="dxa"/>
          </w:tcPr>
          <w:p w14:paraId="5F1456DE">
            <w:pPr>
              <w:spacing w:after="0" w:line="240" w:lineRule="auto"/>
            </w:pPr>
            <w:r>
              <w:t>R²</w:t>
            </w:r>
          </w:p>
        </w:tc>
      </w:tr>
      <w:tr w14:paraId="63506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</w:tcPr>
          <w:p w14:paraId="61CDA81F">
            <w:pPr>
              <w:spacing w:after="0" w:line="240" w:lineRule="auto"/>
            </w:pPr>
            <w:r>
              <w:t>Linear</w:t>
            </w:r>
          </w:p>
        </w:tc>
        <w:tc>
          <w:tcPr>
            <w:tcW w:w="1549" w:type="dxa"/>
          </w:tcPr>
          <w:p w14:paraId="6C004123">
            <w:pPr>
              <w:spacing w:after="0" w:line="240" w:lineRule="auto"/>
            </w:pPr>
            <w:r>
              <w:t>1周</w:t>
            </w:r>
          </w:p>
        </w:tc>
        <w:tc>
          <w:tcPr>
            <w:tcW w:w="1549" w:type="dxa"/>
          </w:tcPr>
          <w:p w14:paraId="62B31F23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0DED8F50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2A128076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7C6F82BD">
            <w:pPr>
              <w:spacing w:after="0" w:line="240" w:lineRule="auto"/>
            </w:pPr>
            <w:r>
              <w:t>待计算</w:t>
            </w:r>
          </w:p>
        </w:tc>
      </w:tr>
      <w:tr w14:paraId="608E7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</w:tcPr>
          <w:p w14:paraId="6211B57E">
            <w:pPr>
              <w:spacing w:after="0" w:line="240" w:lineRule="auto"/>
            </w:pPr>
            <w:r>
              <w:t>RF</w:t>
            </w:r>
          </w:p>
        </w:tc>
        <w:tc>
          <w:tcPr>
            <w:tcW w:w="1549" w:type="dxa"/>
          </w:tcPr>
          <w:p w14:paraId="6EA8397C">
            <w:pPr>
              <w:spacing w:after="0" w:line="240" w:lineRule="auto"/>
            </w:pPr>
            <w:r>
              <w:t>1周</w:t>
            </w:r>
          </w:p>
        </w:tc>
        <w:tc>
          <w:tcPr>
            <w:tcW w:w="1549" w:type="dxa"/>
          </w:tcPr>
          <w:p w14:paraId="5C5D44E0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2D4E4161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7E040CDB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215DA4E2">
            <w:pPr>
              <w:spacing w:after="0" w:line="240" w:lineRule="auto"/>
            </w:pPr>
            <w:r>
              <w:t>待计算</w:t>
            </w:r>
          </w:p>
        </w:tc>
      </w:tr>
      <w:tr w14:paraId="2B1FD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</w:tcPr>
          <w:p w14:paraId="586683C2">
            <w:pPr>
              <w:spacing w:after="0" w:line="240" w:lineRule="auto"/>
            </w:pPr>
            <w:r>
              <w:t>XGBoost</w:t>
            </w:r>
          </w:p>
        </w:tc>
        <w:tc>
          <w:tcPr>
            <w:tcW w:w="1549" w:type="dxa"/>
          </w:tcPr>
          <w:p w14:paraId="681BEA9B">
            <w:pPr>
              <w:spacing w:after="0" w:line="240" w:lineRule="auto"/>
            </w:pPr>
            <w:r>
              <w:t>1周</w:t>
            </w:r>
          </w:p>
        </w:tc>
        <w:tc>
          <w:tcPr>
            <w:tcW w:w="1549" w:type="dxa"/>
          </w:tcPr>
          <w:p w14:paraId="316B2A43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38435E80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3DF3498C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190A0272">
            <w:pPr>
              <w:spacing w:after="0" w:line="240" w:lineRule="auto"/>
            </w:pPr>
            <w:r>
              <w:t>待计算</w:t>
            </w:r>
          </w:p>
        </w:tc>
      </w:tr>
      <w:tr w14:paraId="3C03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</w:tcPr>
          <w:p w14:paraId="3FA20871">
            <w:pPr>
              <w:spacing w:after="0" w:line="240" w:lineRule="auto"/>
            </w:pPr>
            <w:r>
              <w:t>XGBoost</w:t>
            </w:r>
          </w:p>
        </w:tc>
        <w:tc>
          <w:tcPr>
            <w:tcW w:w="1549" w:type="dxa"/>
          </w:tcPr>
          <w:p w14:paraId="3EA5A4CA">
            <w:pPr>
              <w:spacing w:after="0" w:line="240" w:lineRule="auto"/>
            </w:pPr>
            <w:r>
              <w:t>2周</w:t>
            </w:r>
          </w:p>
        </w:tc>
        <w:tc>
          <w:tcPr>
            <w:tcW w:w="1549" w:type="dxa"/>
          </w:tcPr>
          <w:p w14:paraId="0E3AD7C2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2AB929E9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1B03ECB3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40D4C105">
            <w:pPr>
              <w:spacing w:after="0" w:line="240" w:lineRule="auto"/>
            </w:pPr>
            <w:r>
              <w:t>待计算</w:t>
            </w:r>
          </w:p>
        </w:tc>
      </w:tr>
      <w:tr w14:paraId="036A2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</w:tcPr>
          <w:p w14:paraId="1F32CCD2">
            <w:pPr>
              <w:spacing w:after="0" w:line="240" w:lineRule="auto"/>
            </w:pPr>
            <w:r>
              <w:t>XGBoost</w:t>
            </w:r>
          </w:p>
        </w:tc>
        <w:tc>
          <w:tcPr>
            <w:tcW w:w="1549" w:type="dxa"/>
          </w:tcPr>
          <w:p w14:paraId="77B01B61">
            <w:pPr>
              <w:spacing w:after="0" w:line="240" w:lineRule="auto"/>
            </w:pPr>
            <w:r>
              <w:t>3周</w:t>
            </w:r>
          </w:p>
        </w:tc>
        <w:tc>
          <w:tcPr>
            <w:tcW w:w="1549" w:type="dxa"/>
          </w:tcPr>
          <w:p w14:paraId="3776D49F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3B3C1A22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4DAE009E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3D1E182E">
            <w:pPr>
              <w:spacing w:after="0" w:line="240" w:lineRule="auto"/>
            </w:pPr>
            <w:r>
              <w:t>待计算</w:t>
            </w:r>
          </w:p>
        </w:tc>
      </w:tr>
      <w:tr w14:paraId="2E76C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9" w:type="dxa"/>
          </w:tcPr>
          <w:p w14:paraId="6C5444FA">
            <w:pPr>
              <w:spacing w:after="0" w:line="240" w:lineRule="auto"/>
            </w:pPr>
            <w:r>
              <w:t>XGBoost</w:t>
            </w:r>
          </w:p>
        </w:tc>
        <w:tc>
          <w:tcPr>
            <w:tcW w:w="1549" w:type="dxa"/>
          </w:tcPr>
          <w:p w14:paraId="7EF50FC2">
            <w:pPr>
              <w:spacing w:after="0" w:line="240" w:lineRule="auto"/>
            </w:pPr>
            <w:r>
              <w:t>4周</w:t>
            </w:r>
          </w:p>
        </w:tc>
        <w:tc>
          <w:tcPr>
            <w:tcW w:w="1549" w:type="dxa"/>
          </w:tcPr>
          <w:p w14:paraId="0DC65B88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1274F591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559232A0">
            <w:pPr>
              <w:spacing w:after="0" w:line="240" w:lineRule="auto"/>
            </w:pPr>
            <w:r>
              <w:t>待计算</w:t>
            </w:r>
          </w:p>
        </w:tc>
        <w:tc>
          <w:tcPr>
            <w:tcW w:w="1549" w:type="dxa"/>
          </w:tcPr>
          <w:p w14:paraId="61574BDF">
            <w:pPr>
              <w:spacing w:after="0" w:line="240" w:lineRule="auto"/>
            </w:pPr>
            <w:r>
              <w:t>待计算</w:t>
            </w:r>
          </w:p>
        </w:tc>
      </w:tr>
    </w:tbl>
    <w:p w14:paraId="319D5ED1">
      <w:r>
        <w:t>随后可根据90%或95%分位阈值，将预测H和真实H转换为极端/非极端事件，进一步计算Precision、Recall、F1、ROC-AUC或导师建议的气象技巧评分。</w:t>
      </w:r>
    </w:p>
    <w:p w14:paraId="14FC17E8">
      <w:pPr>
        <w:pStyle w:val="3"/>
      </w:pPr>
      <w:r>
        <w:t>十、关键变量识别与物理机制验证</w:t>
      </w:r>
    </w:p>
    <w:p w14:paraId="2FFFC2CC">
      <w:r>
        <w:t>模型完成后使用SHAP分析不同提前期下各预测变量对H预测结果的贡献。不仅需要给出变量重要性排名，还需要分析变量取值升高或降低时对预测高温的正、负贡献。</w:t>
      </w:r>
    </w:p>
    <w:p w14:paraId="50BEAA59">
      <w:r>
        <w:t>例如，如果结果显示前期土壤湿度降低对应正的高温SHAP贡献，可进一步检验：前期土壤偏干 → 蒸散受限 → 潜热减少/感热增强 → 近地面升温 → 高温增强。该链条仅是待检验的物理假设，不能由SHAP结果直接认定为因果关系。</w:t>
      </w:r>
    </w:p>
    <w:p w14:paraId="4A12C4FF">
      <w:r>
        <w:t>因此，对SHAP识别出的重要变量还应使用合成分析、相关/回归分析、异常场诊断和必要的显著性检验，判断机器学习识别出的关系是否具有稳定、可信的气候动力学解释。</w:t>
      </w:r>
    </w:p>
    <w:p w14:paraId="28579BB2">
      <w:pPr>
        <w:pStyle w:val="3"/>
      </w:pPr>
      <w:r>
        <w:t>十一、现阶段最优先任务</w:t>
      </w:r>
    </w:p>
    <w:p w14:paraId="11DC19B5">
      <w:r>
        <w:t>当前不应急于训练模型。第一优先级是完成1981—2025年5—8月目标变量Y的数据链路，形成“日期 → 区域Tmax → Tmax距平 → 标准化高温指数H”的完整时间序列表。在这张表质量可靠后，再制作提前1—4周的预测因子表并进入机器学习阶段。</w:t>
      </w:r>
    </w:p>
    <w:p w14:paraId="2958B22C">
      <w:pPr>
        <w:pStyle w:val="3"/>
      </w:pPr>
      <w:r>
        <w:t>十二、建议的研究闭环</w:t>
      </w:r>
    </w:p>
    <w:p w14:paraId="067BDFBC">
      <w:pPr>
        <w:jc w:val="center"/>
      </w:pPr>
      <w:r>
        <w:rPr>
          <w:b/>
        </w:rPr>
        <w:t>多年ERA5资料 → 高温指数H → 1—4周前兆因子 → Linear/RF/XGBoost → 独立年份检验 → 极端阈值检验 → SHAP解释 → 气候动力机制验证</w:t>
      </w:r>
    </w:p>
    <w:p w14:paraId="5CE87643"/>
    <w:p w14:paraId="769B284E">
      <w:r>
        <w:rPr>
          <w:i/>
        </w:rPr>
        <w:t>说明：本方案依据当前《国创选题阐述_结合ERA5现有数据调整版》中的研究框架整理，并结合当前讨论将实际操作步骤进一步具体化。</w:t>
      </w:r>
    </w:p>
    <w:sectPr>
      <w:pgSz w:w="12240" w:h="15840"/>
      <w:pgMar w:top="1304" w:right="1474" w:bottom="1304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C6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942</Words>
  <Characters>1189</Characters>
  <Lines>0</Lines>
  <Paragraphs>0</Paragraphs>
  <TotalTime>3</TotalTime>
  <ScaleCrop>false</ScaleCrop>
  <LinksUpToDate>false</LinksUpToDate>
  <CharactersWithSpaces>1227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夏子明</cp:lastModifiedBy>
  <dcterms:modified xsi:type="dcterms:W3CDTF">2026-09-15T11:08:16Z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20E8DB7E9DB343C992D0527A964AE940_13</vt:lpwstr>
  </property>
</Properties>
</file>