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360"/>
        <w:jc w:val="center"/>
      </w:pPr>
      <w:r>
        <w:rPr>
          <w:rFonts w:ascii="Noto Sans CJK SC" w:hAnsi="Noto Sans CJK SC" w:eastAsia="Noto Sans CJK SC"/>
          <w:b/>
          <w:sz w:val="40"/>
        </w:rPr>
        <w:t>长江流域极端高温次季节预测中</w:t>
        <w:br/>
        <w:t>2 m气温、海平面气压与海表温度的预测因子论证</w:t>
      </w:r>
    </w:p>
    <w:p>
      <w:pPr>
        <w:jc w:val="center"/>
      </w:pPr>
      <w:r>
        <w:rPr>
          <w:rFonts w:ascii="Noto Sans CJK SC" w:hAnsi="Noto Sans CJK SC" w:eastAsia="Noto Sans CJK SC"/>
          <w:sz w:val="24"/>
        </w:rPr>
        <w:t>——基于已有高温形成机制与S2S预测研究的文献综述</w:t>
      </w:r>
    </w:p>
    <w:p>
      <w:pPr>
        <w:spacing w:before="400"/>
        <w:jc w:val="center"/>
      </w:pPr>
      <w:r>
        <w:rPr>
          <w:sz w:val="21"/>
        </w:rPr>
        <w:t>适用于：长江流域极端高温次季节预测及高温持续/延伸时间研究</w:t>
      </w:r>
    </w:p>
    <w:p>
      <w:r>
        <w:br w:type="page"/>
      </w:r>
    </w:p>
    <w:p>
      <w:pPr>
        <w:pStyle w:val="Heading1"/>
        <w:keepNext/>
      </w:pPr>
      <w:r>
        <w:t>一、结论摘要</w:t>
      </w:r>
    </w:p>
    <w:p>
      <w:pPr>
        <w:ind w:firstLine="420"/>
      </w:pPr>
      <w:r>
        <w:rPr>
          <w:rFonts w:ascii="Noto Serif CJK SC" w:hAnsi="Noto Serif CJK SC" w:eastAsia="Noto Serif CJK SC"/>
          <w:b w:val="0"/>
          <w:i w:val="0"/>
          <w:sz w:val="21"/>
        </w:rPr>
        <w:t>从“长江流域极端高温的次季节预测 + 高温持续/延伸时间预测”这一研究目标出发，2 m气温（T2M）、海平面气压（MSLP/MSL）和海表温度（SST）具有较强的物理意义与已有研究支撑，可作为第一批核心候选预测因子。三者分别表征局地热力状态、大尺度近地面环流背景和海洋慢变边界强迫，覆盖了从短期大气记忆到较长次季节海气耦合的不同可预报来源。</w:t>
      </w:r>
    </w:p>
    <w:p>
      <w:pPr>
        <w:ind w:firstLine="420"/>
      </w:pPr>
      <w:r>
        <w:rPr>
          <w:rFonts w:ascii="Noto Serif CJK SC" w:hAnsi="Noto Serif CJK SC" w:eastAsia="Noto Serif CJK SC"/>
          <w:b w:val="0"/>
          <w:i w:val="0"/>
          <w:sz w:val="21"/>
        </w:rPr>
        <w:t>尤其值得注意的是，Mengist 和 Seo（2026）利用ECMWF再预报资料和ResU-Net进行全球1—6周2 m气温与降水概率预测时发现：在第1—2周，T2M、平均海平面气压、850 hPa位势高度和850 hPa温度属于最重要的T2M预测因子；而到了第4—6周，SST、200 hPa位势高度和200 hPa温度的重要性显著上升。这一结果与“近时效依赖大气初始状态、长时效更多依赖慢变海洋信号与遥相关”的物理图景高度一致。</w:t>
      </w:r>
    </w:p>
    <w:p>
      <w:pPr>
        <w:ind w:firstLine="420"/>
      </w:pPr>
      <w:r>
        <w:rPr>
          <w:rFonts w:ascii="Noto Serif CJK SC" w:hAnsi="Noto Serif CJK SC" w:eastAsia="Noto Serif CJK SC"/>
          <w:b w:val="0"/>
          <w:i w:val="0"/>
          <w:sz w:val="21"/>
        </w:rPr>
        <w:t>因此，项目中可以优先保留T2M、MSLP和SST，但更科学的表述应是“核心候选预测因子”，而不是在建模前直接认定为最终最优的三个变量。最终仍需通过相关分析、滞后相关、特征重要度、SHAP、消融实验等方法进行定量筛选。</w:t>
      </w:r>
    </w:p>
    <w:p>
      <w:pPr>
        <w:pStyle w:val="Heading1"/>
        <w:keepNext/>
      </w:pPr>
      <w:r>
        <w:t>二、2 m气温：局地热力状态与高温持续性的直接表征</w:t>
      </w:r>
    </w:p>
    <w:p>
      <w:pPr>
        <w:ind w:firstLine="420"/>
      </w:pPr>
      <w:r>
        <w:rPr>
          <w:rFonts w:ascii="Noto Serif CJK SC" w:hAnsi="Noto Serif CJK SC" w:eastAsia="Noto Serif CJK SC"/>
          <w:b w:val="0"/>
          <w:i w:val="0"/>
          <w:sz w:val="21"/>
        </w:rPr>
        <w:t>2 m气温与研究对象具有最直接的物理联系。对于极端高温及热浪过程而言，当前或前期近地面温度异常不仅反映“已经有多热”，也反映高温过程是否已经建立以及热状态是否具有持续性。若一个区域在起报前数日到数周已经处于明显正温度距平状态，则其后续继续维持高温的概率通常会受到陆面热储存、土壤干燥、晴空辐射和边界层反馈等过程影响。</w:t>
      </w:r>
    </w:p>
    <w:p>
      <w:pPr>
        <w:ind w:firstLine="420"/>
      </w:pPr>
      <w:r>
        <w:rPr>
          <w:rFonts w:ascii="Noto Serif CJK SC" w:hAnsi="Noto Serif CJK SC" w:eastAsia="Noto Serif CJK SC"/>
          <w:b w:val="0"/>
          <w:i w:val="0"/>
          <w:sz w:val="21"/>
        </w:rPr>
        <w:t>在次季节尺度上，T2M本身可以视为一种“状态记忆”变量。Mengist 和 Seo（2026）的深度学习后处理研究显示，T2M是第1—2周预测未来T2M时最重要的变量之一，说明较近次季节时效中，初始热状态对后续温度演变仍具有显著信息量。</w:t>
      </w:r>
    </w:p>
    <w:p>
      <w:pPr>
        <w:ind w:firstLine="420"/>
      </w:pPr>
      <w:r>
        <w:rPr>
          <w:rFonts w:ascii="Noto Serif CJK SC" w:hAnsi="Noto Serif CJK SC" w:eastAsia="Noto Serif CJK SC"/>
          <w:b w:val="0"/>
          <w:i w:val="0"/>
          <w:sz w:val="21"/>
        </w:rPr>
        <w:t>Xie等（2024）针对中国10—30天的地表气温和热浪预测开展深度学习研究，结果表明，将不同时间尺度的前兆信号及其相互作用纳入模型后，可明显改善中国地表气温异常和热浪的次季节预测能力，尤其在20天以上提前量上仍保持较好的预测表现。该研究进一步说明，温度异常本身及其与大尺度信号的耦合，是中国次季节高温预测的重要信息来源。</w:t>
      </w:r>
    </w:p>
    <w:p>
      <w:pPr>
        <w:ind w:firstLine="420"/>
      </w:pPr>
      <w:r>
        <w:rPr>
          <w:rFonts w:ascii="Noto Serif CJK SC" w:hAnsi="Noto Serif CJK SC" w:eastAsia="Noto Serif CJK SC"/>
          <w:b w:val="0"/>
          <w:i w:val="0"/>
          <w:sz w:val="21"/>
        </w:rPr>
        <w:t>Pan等（2026）则直接针对长江流域极端高温开展3—4周深度学习预测研究，提出Res-UNet框架，并表明模型可以提前约3周较好捕捉极端高温过程的发生与衰减。对于本项目而言，这意味着T2M既可承担“高温是否存在/有多强”的直接信息，又可服务于“高温是否继续延伸”的持续性判断。</w:t>
      </w:r>
    </w:p>
    <w:p>
      <w:pPr>
        <w:pStyle w:val="Heading1"/>
        <w:keepNext/>
      </w:pPr>
      <w:r>
        <w:t>三、海平面气压：大尺度高压环流与持续高温背景的低层表征</w:t>
      </w:r>
    </w:p>
    <w:p>
      <w:pPr>
        <w:ind w:firstLine="420"/>
      </w:pPr>
      <w:r>
        <w:rPr>
          <w:rFonts w:ascii="Noto Serif CJK SC" w:hAnsi="Noto Serif CJK SC" w:eastAsia="Noto Serif CJK SC"/>
          <w:b w:val="0"/>
          <w:i w:val="0"/>
          <w:sz w:val="21"/>
        </w:rPr>
        <w:t>长江流域持续性极端高温通常不是单纯的局地升温事件，而与异常高压、反气旋控制和大尺度下沉运动密切相关。异常高压建立后，可通过增强下沉运动、减少云量和降水、增加地表入射短波辐射以及下沉压缩增温等途径，为持续高温提供有利的大尺度环流背景。</w:t>
      </w:r>
    </w:p>
    <w:p>
      <w:pPr>
        <w:ind w:firstLine="420"/>
      </w:pPr>
      <w:r>
        <w:rPr>
          <w:rFonts w:ascii="Noto Serif CJK SC" w:hAnsi="Noto Serif CJK SC" w:eastAsia="Noto Serif CJK SC"/>
          <w:b w:val="0"/>
          <w:i w:val="0"/>
          <w:sz w:val="21"/>
        </w:rPr>
        <w:t>海平面气压的价值在于，它能够从近地面层面表征高、低压系统及其空间配置。对于机器学习而言，MSLP不仅是一个局地标量，更可以通过空间场形式帮助模型识别异常高压的强度、范围、中心位置和持续性。需要强调的是，MSLP与高温的关系并不是“气压越高，温度一定越高”的简单线性关系，而是其空间异常与大尺度环流型对高温过程的维持具有指示意义。</w:t>
      </w:r>
    </w:p>
    <w:p>
      <w:pPr>
        <w:ind w:firstLine="420"/>
      </w:pPr>
      <w:r>
        <w:rPr>
          <w:rFonts w:ascii="Noto Serif CJK SC" w:hAnsi="Noto Serif CJK SC" w:eastAsia="Noto Serif CJK SC"/>
          <w:b w:val="0"/>
          <w:i w:val="0"/>
          <w:sz w:val="21"/>
        </w:rPr>
        <w:t>Mengist 和 Seo（2026）的变量重要性分析为这一选择提供了直接的S2S证据：平均海平面气压是第1—2周T2M预测中最重要的变量之一。该结果说明，在较近次季节时效上，近地面环流状态仍然能够提供显著的温度可预报信息。</w:t>
      </w:r>
    </w:p>
    <w:p>
      <w:pPr>
        <w:ind w:firstLine="420"/>
      </w:pPr>
      <w:r>
        <w:rPr>
          <w:rFonts w:ascii="Noto Serif CJK SC" w:hAnsi="Noto Serif CJK SC" w:eastAsia="Noto Serif CJK SC"/>
          <w:b w:val="0"/>
          <w:i w:val="0"/>
          <w:sz w:val="21"/>
        </w:rPr>
        <w:t>针对2022年长江流域历史性高温，Lu等（2024）指出，西北太平洋副热带高压的增强和西伸是极端高温形成的重要环流环节。虽然该研究并未将MSLP作为唯一核心因子，但它表明“异常高压/反气旋背景”是连接海温强迫、遥相关和长江流域高温的重要动力桥梁。因此，MSLP作为大尺度低层环流信息的代理变量，具有明确的物理基础。</w:t>
      </w:r>
    </w:p>
    <w:p>
      <w:pPr>
        <w:ind w:firstLine="420"/>
      </w:pPr>
      <w:r>
        <w:rPr>
          <w:rFonts w:ascii="Noto Serif CJK SC" w:hAnsi="Noto Serif CJK SC" w:eastAsia="Noto Serif CJK SC"/>
          <w:b w:val="0"/>
          <w:i w:val="0"/>
          <w:sz w:val="21"/>
        </w:rPr>
        <w:t>数据处理上，若MSLP作为机器学习预测因子，更建议使用日平均值、周平均值或相对于气候态的气压距平，而不是“日最大海平面气压”。因为项目更关注的是持续性环流背景，而非一天内某一时刻的局地最高气压。</w:t>
      </w:r>
    </w:p>
    <w:p>
      <w:pPr>
        <w:pStyle w:val="Heading1"/>
        <w:keepNext/>
      </w:pPr>
      <w:r>
        <w:t>四、海表温度：较长次季节时效中的慢变海洋记忆与遥相关信号</w:t>
      </w:r>
    </w:p>
    <w:p>
      <w:pPr>
        <w:ind w:firstLine="420"/>
      </w:pPr>
      <w:r>
        <w:rPr>
          <w:rFonts w:ascii="Noto Serif CJK SC" w:hAnsi="Noto Serif CJK SC" w:eastAsia="Noto Serif CJK SC"/>
          <w:b w:val="0"/>
          <w:i w:val="0"/>
          <w:sz w:val="21"/>
        </w:rPr>
        <w:t>SST在本项目中的核心意义来自次季节时间尺度。相较于大气变量，海洋具有更大的热容量和更长的记忆时间，SST异常往往能够在数周甚至更长时间内持续存在。因此，当预报时效从第1—2周延伸到第3—6周时，大气初始状态的信息逐渐衰减，而SST等慢变边界条件的重要性会相对上升。</w:t>
      </w:r>
    </w:p>
    <w:p>
      <w:pPr>
        <w:ind w:firstLine="420"/>
      </w:pPr>
      <w:r>
        <w:rPr>
          <w:rFonts w:ascii="Noto Serif CJK SC" w:hAnsi="Noto Serif CJK SC" w:eastAsia="Noto Serif CJK SC"/>
          <w:b w:val="0"/>
          <w:i w:val="0"/>
          <w:sz w:val="21"/>
        </w:rPr>
        <w:t>Mengist 和 Seo（2026）的结果非常直接：在第4—6周T2M预测中，SST与200 hPa位势高度、200 hPa温度一起成为最重要的预测因子之一。作者将其与海气耦合及大尺度遥相关作用联系起来。这为本项目在3—6周预测时效中优先考虑SST提供了很强的机器学习证据。</w:t>
      </w:r>
    </w:p>
    <w:p>
      <w:pPr>
        <w:ind w:firstLine="420"/>
      </w:pPr>
      <w:r>
        <w:rPr>
          <w:rFonts w:ascii="Noto Serif CJK SC" w:hAnsi="Noto Serif CJK SC" w:eastAsia="Noto Serif CJK SC"/>
          <w:b w:val="0"/>
          <w:i w:val="0"/>
          <w:sz w:val="21"/>
        </w:rPr>
        <w:t>对于长江流域，SST的影响主要不是“海水直接加热陆地”，而是通过海气相互作用改变热带对流、Walker环流、季风环流和罗斯贝波传播，从而调制西北太平洋副热带高压以及东亚异常高压系统，最终改变长江流域的下沉运动、云量、降水和地表辐射条件。</w:t>
      </w:r>
    </w:p>
    <w:p>
      <w:pPr>
        <w:ind w:firstLine="420"/>
      </w:pPr>
      <w:r>
        <w:rPr>
          <w:rFonts w:ascii="Noto Serif CJK SC" w:hAnsi="Noto Serif CJK SC" w:eastAsia="Noto Serif CJK SC"/>
          <w:b w:val="0"/>
          <w:i w:val="0"/>
          <w:sz w:val="21"/>
        </w:rPr>
        <w:t>Lu等（2024）对2022年长江流域酷热夏季的研究表明，中央太平洋La Niña、负印度洋偶极子以及热带西太平洋—东印度洋异常增暖共同参与了高温形成过程，并通过增强和西伸西北太平洋副热带高压促进长江流域升温。基于108个集合成员的分析，公共SST强迫约解释了该次热浪强度的26%，说明SST是重要的可预报来源，但并不能单独解释全部高温异常。</w:t>
      </w:r>
    </w:p>
    <w:p>
      <w:pPr>
        <w:ind w:firstLine="420"/>
      </w:pPr>
      <w:r>
        <w:rPr>
          <w:rFonts w:ascii="Noto Serif CJK SC" w:hAnsi="Noto Serif CJK SC" w:eastAsia="Noto Serif CJK SC"/>
          <w:b w:val="0"/>
          <w:i w:val="0"/>
          <w:sz w:val="21"/>
        </w:rPr>
        <w:t>因此，若要真正发挥SST在次季节预测中的作用，下载区域不能只局限于长江流域附近海域。更合理的范围应至少覆盖热带印度洋、西太平洋和中东太平洋，并根据前期相关分析进一步筛选关键海区。</w:t>
      </w:r>
    </w:p>
    <w:p>
      <w:pPr>
        <w:pStyle w:val="Heading1"/>
        <w:keepNext/>
      </w:pPr>
      <w:r>
        <w:t>五、三类变量的互补性：从“快变量”到“慢变量”</w:t>
      </w:r>
    </w:p>
    <w:p>
      <w:pPr>
        <w:ind w:firstLine="420"/>
      </w:pPr>
      <w:r>
        <w:rPr>
          <w:rFonts w:ascii="Noto Serif CJK SC" w:hAnsi="Noto Serif CJK SC" w:eastAsia="Noto Serif CJK SC"/>
          <w:b w:val="0"/>
          <w:i w:val="0"/>
          <w:sz w:val="21"/>
        </w:rPr>
        <w:t>T2M、MSLP与SST的最大优势并不在于三个变量分别都与高温相关，而在于它们代表了不同时间尺度、不同物理层次的可预报信息。三者组合后，可以形成“局地热状态—大尺度环流—海洋慢变强迫”的较完整链条。</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vAlign w:val="center"/>
          </w:tcPr>
          <w:p>
            <w:pPr>
              <w:jc w:val="center"/>
            </w:pPr>
            <w:r>
              <w:rPr>
                <w:rFonts w:ascii="Noto Sans CJK SC" w:hAnsi="Noto Sans CJK SC" w:eastAsia="Noto Sans CJK SC"/>
                <w:b/>
              </w:rPr>
              <w:t>预测因子</w:t>
            </w:r>
          </w:p>
        </w:tc>
        <w:tc>
          <w:tcPr>
            <w:tcW w:type="dxa" w:w="2379"/>
            <w:shd w:fill="D9EAF7"/>
            <w:vAlign w:val="center"/>
          </w:tcPr>
          <w:p>
            <w:pPr>
              <w:jc w:val="center"/>
            </w:pPr>
            <w:r>
              <w:rPr>
                <w:rFonts w:ascii="Noto Sans CJK SC" w:hAnsi="Noto Sans CJK SC" w:eastAsia="Noto Sans CJK SC"/>
                <w:b/>
              </w:rPr>
              <w:t>主要物理含义</w:t>
            </w:r>
          </w:p>
        </w:tc>
        <w:tc>
          <w:tcPr>
            <w:tcW w:type="dxa" w:w="2379"/>
            <w:shd w:fill="D9EAF7"/>
            <w:vAlign w:val="center"/>
          </w:tcPr>
          <w:p>
            <w:pPr>
              <w:jc w:val="center"/>
            </w:pPr>
            <w:r>
              <w:rPr>
                <w:rFonts w:ascii="Noto Sans CJK SC" w:hAnsi="Noto Sans CJK SC" w:eastAsia="Noto Sans CJK SC"/>
                <w:b/>
              </w:rPr>
              <w:t>对高温预测的主要作用</w:t>
            </w:r>
          </w:p>
        </w:tc>
        <w:tc>
          <w:tcPr>
            <w:tcW w:type="dxa" w:w="2379"/>
            <w:shd w:fill="D9EAF7"/>
            <w:vAlign w:val="center"/>
          </w:tcPr>
          <w:p>
            <w:pPr>
              <w:jc w:val="center"/>
            </w:pPr>
            <w:r>
              <w:rPr>
                <w:rFonts w:ascii="Noto Sans CJK SC" w:hAnsi="Noto Sans CJK SC" w:eastAsia="Noto Sans CJK SC"/>
                <w:b/>
              </w:rPr>
              <w:t>更可能发挥作用的时效</w:t>
            </w:r>
          </w:p>
        </w:tc>
      </w:tr>
      <w:tr>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2 m气温（T2M）</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局地热力状态、已有温度异常</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判断高温是否已经建立、强度多大、是否具有持续性</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第1—2周最直接</w:t>
            </w:r>
          </w:p>
        </w:tc>
      </w:tr>
      <w:tr>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海平面气压（MSLP）</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近地面大尺度环流与高压/低压配置</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识别异常高压、反气旋和有利于持续高温的环流背景</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第1—3周较重要</w:t>
            </w:r>
          </w:p>
        </w:tc>
      </w:tr>
      <w:tr>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海表温度（SST）</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海洋慢变边界强迫、海气耦合与遥相关</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通过热带对流和遥相关调制副高及东亚大尺度环流</w:t>
            </w:r>
          </w:p>
        </w:tc>
        <w:tc>
          <w:tcPr>
            <w:tcW w:type="dxa" w:w="2379"/>
            <w:vAlign w:val="center"/>
            <w:tcMar>
              <w:top w:w="80" w:type="dxa"/>
              <w:start w:w="90" w:type="dxa"/>
              <w:bottom w:w="80" w:type="dxa"/>
              <w:end w:w="90" w:type="dxa"/>
            </w:tcMar>
          </w:tcPr>
          <w:p>
            <w:pPr>
              <w:spacing w:after="0" w:line="288" w:lineRule="auto"/>
            </w:pPr>
            <w:r>
              <w:rPr>
                <w:rFonts w:ascii="Noto Serif CJK SC" w:hAnsi="Noto Serif CJK SC" w:eastAsia="Noto Serif CJK SC"/>
                <w:sz w:val="19"/>
              </w:rPr>
              <w:t>第3—6周重要性上升</w:t>
            </w:r>
          </w:p>
        </w:tc>
      </w:tr>
    </w:tbl>
    <w:p>
      <w:pPr>
        <w:pStyle w:val="Heading1"/>
        <w:keepNext/>
      </w:pPr>
      <w:r>
        <w:t>六、对项目变量选择的具体建议</w:t>
      </w:r>
    </w:p>
    <w:p>
      <w:pPr>
        <w:ind w:firstLine="420"/>
      </w:pPr>
      <w:r>
        <w:rPr>
          <w:rFonts w:ascii="Noto Serif CJK SC" w:hAnsi="Noto Serif CJK SC" w:eastAsia="Noto Serif CJK SC"/>
          <w:b w:val="0"/>
          <w:i w:val="0"/>
          <w:sz w:val="21"/>
        </w:rPr>
        <w:t>基于上述文献，可将T2M、MSLP和SST设置为第一批核心候选因子，但不建议仅使用这三个变量完成最终模型。长江流域持续性高温还受到中高层环流、陆面过程和水分反馈的显著影响。</w:t>
      </w:r>
    </w:p>
    <w:p>
      <w:pPr>
        <w:ind w:firstLine="420"/>
      </w:pPr>
      <w:r>
        <w:rPr>
          <w:rFonts w:ascii="Noto Serif CJK SC" w:hAnsi="Noto Serif CJK SC" w:eastAsia="Noto Serif CJK SC"/>
          <w:b w:val="0"/>
          <w:i w:val="0"/>
          <w:sz w:val="21"/>
        </w:rPr>
        <w:t>Lv等（2026）针对2022年长江流域持续性极端高温的S2S可预报性研究指出，降水—土壤湿度耦合是限制高温强度可预报性的关键因素。其集合归因结果显示，区域降水对地表最高温度集合离散度具有很强解释作用，土壤湿度亦发挥重要作用。这意味着，对于“高温持续时间/延伸期”预测而言，土壤湿度和前期降水具有很高的优先级。</w:t>
      </w:r>
    </w:p>
    <w:p>
      <w:pPr>
        <w:ind w:firstLine="420"/>
      </w:pPr>
      <w:r>
        <w:rPr>
          <w:rFonts w:ascii="Noto Serif CJK SC" w:hAnsi="Noto Serif CJK SC" w:eastAsia="Noto Serif CJK SC"/>
          <w:b w:val="0"/>
          <w:i w:val="0"/>
          <w:sz w:val="21"/>
        </w:rPr>
        <w:t>因此，建议形成两级候选变量体系：第一梯队为T2M、MSLP、SST；第二梯队至少加入500 hPa位势高度（Z500）、850 hPa温度（T850）、降水、土壤湿度，并可根据数据量和模型复杂度进一步加入200 hPa/850 hPa风场、比湿、辐射和感热/潜热通量。</w:t>
      </w:r>
    </w:p>
    <w:p>
      <w:pPr>
        <w:pStyle w:val="Heading1"/>
        <w:keepNext/>
      </w:pPr>
      <w:r>
        <w:t>七、建议的实证筛选流程</w:t>
      </w:r>
    </w:p>
    <w:p>
      <w:pPr>
        <w:spacing w:after="80"/>
        <w:ind w:firstLine="0" w:left="170"/>
      </w:pPr>
      <w:r>
        <w:rPr>
          <w:rFonts w:ascii="Noto Sans CJK SC" w:hAnsi="Noto Sans CJK SC" w:eastAsia="Noto Sans CJK SC"/>
          <w:b/>
        </w:rPr>
        <w:t>1. 单因子统计检验：</w:t>
      </w:r>
      <w:r>
        <w:rPr>
          <w:rFonts w:ascii="Noto Serif CJK SC" w:hAnsi="Noto Serif CJK SC" w:eastAsia="Noto Serif CJK SC"/>
        </w:rPr>
        <w:t>计算每个候选变量与未来1—6周高温强度、持续天数、延伸天数之间的相关和滞后相关。</w:t>
      </w:r>
    </w:p>
    <w:p>
      <w:pPr>
        <w:spacing w:after="80"/>
        <w:ind w:firstLine="0" w:left="170"/>
      </w:pPr>
      <w:r>
        <w:rPr>
          <w:rFonts w:ascii="Noto Sans CJK SC" w:hAnsi="Noto Sans CJK SC" w:eastAsia="Noto Sans CJK SC"/>
          <w:b/>
        </w:rPr>
        <w:t>2. 空间前兆识别：</w:t>
      </w:r>
      <w:r>
        <w:rPr>
          <w:rFonts w:ascii="Noto Serif CJK SC" w:hAnsi="Noto Serif CJK SC" w:eastAsia="Noto Serif CJK SC"/>
        </w:rPr>
        <w:t>对SST、MSLP、Z500等空间场进行相关/合成分析，寻找具有稳定物理意义的关键区域。</w:t>
      </w:r>
    </w:p>
    <w:p>
      <w:pPr>
        <w:spacing w:after="80"/>
        <w:ind w:firstLine="0" w:left="170"/>
      </w:pPr>
      <w:r>
        <w:rPr>
          <w:rFonts w:ascii="Noto Sans CJK SC" w:hAnsi="Noto Sans CJK SC" w:eastAsia="Noto Sans CJK SC"/>
          <w:b/>
        </w:rPr>
        <w:t>3. 多模型特征重要度：</w:t>
      </w:r>
      <w:r>
        <w:rPr>
          <w:rFonts w:ascii="Noto Serif CJK SC" w:hAnsi="Noto Serif CJK SC" w:eastAsia="Noto Serif CJK SC"/>
        </w:rPr>
        <w:t>采用随机森林/XGBoost/LightGBM等计算特征重要度，并结合SHAP判断变量贡献方向和非线性关系。</w:t>
      </w:r>
    </w:p>
    <w:p>
      <w:pPr>
        <w:spacing w:after="80"/>
        <w:ind w:firstLine="0" w:left="170"/>
      </w:pPr>
      <w:r>
        <w:rPr>
          <w:rFonts w:ascii="Noto Sans CJK SC" w:hAnsi="Noto Sans CJK SC" w:eastAsia="Noto Sans CJK SC"/>
          <w:b/>
        </w:rPr>
        <w:t>4. 消融实验：</w:t>
      </w:r>
      <w:r>
        <w:rPr>
          <w:rFonts w:ascii="Noto Serif CJK SC" w:hAnsi="Noto Serif CJK SC" w:eastAsia="Noto Serif CJK SC"/>
        </w:rPr>
        <w:t>分别去掉T2M、MSLP、SST等变量，比较预测技巧变化，检验变量是否真正带来独立增益。</w:t>
      </w:r>
    </w:p>
    <w:p>
      <w:pPr>
        <w:spacing w:after="80"/>
        <w:ind w:firstLine="0" w:left="170"/>
      </w:pPr>
      <w:r>
        <w:rPr>
          <w:rFonts w:ascii="Noto Sans CJK SC" w:hAnsi="Noto Sans CJK SC" w:eastAsia="Noto Sans CJK SC"/>
          <w:b/>
        </w:rPr>
        <w:t>5. 分时效建模：</w:t>
      </w:r>
      <w:r>
        <w:rPr>
          <w:rFonts w:ascii="Noto Serif CJK SC" w:hAnsi="Noto Serif CJK SC" w:eastAsia="Noto Serif CJK SC"/>
        </w:rPr>
        <w:t>允许第1—2周与第3—6周使用不同权重甚至不同预测因子，以体现大气初始条件和海洋慢变信号随时效变化的作用。</w:t>
      </w:r>
    </w:p>
    <w:p>
      <w:pPr>
        <w:pStyle w:val="Heading1"/>
        <w:keepNext/>
      </w:pPr>
      <w:r>
        <w:t>八、可直接用于项目申报书/论文的表述</w:t>
      </w:r>
    </w:p>
    <w:p>
      <w:pPr>
        <w:spacing w:before="120" w:after="120"/>
        <w:ind w:left="454" w:right="454"/>
        <w:shd w:fill="F3F6F8"/>
      </w:pPr>
      <w:r>
        <w:rPr>
          <w:rFonts w:ascii="Noto Serif CJK SC" w:hAnsi="Noto Serif CJK SC" w:eastAsia="Noto Serif CJK SC"/>
          <w:sz w:val="21"/>
        </w:rPr>
        <w:t>基于已有长江流域高温形成机制及次季节预测研究，本研究初步选取2 m气温、海平面气压和海表温度作为核心候选预测因子。三者分别表征局地热力状态、大尺度环流背景和海洋慢变外强迫，能够覆盖从较短时效大气初始状态记忆到较长次季节海气耦合的主要可预报信息。已有研究表明，T2M与平均海平面气压在第1—2周T2M预测中具有较高贡献，而SST的重要性在第4—6周明显提高；同时，热带太平洋和印度洋SST异常可通过调制西北太平洋副热带高压及相关遥相关过程影响长江流域极端高温。基于此，本研究将上述三类变量作为第一批核心候选因子，并进一步引入Z500、T850、降水及土壤湿度等变量，通过滞后相关、机器学习特征重要度和消融实验筛选最终预测因子。</w:t>
      </w:r>
    </w:p>
    <w:p>
      <w:pPr>
        <w:pStyle w:val="Heading1"/>
        <w:keepNext/>
      </w:pPr>
      <w:r>
        <w:t>参考文献</w:t>
      </w:r>
    </w:p>
    <w:p>
      <w:pPr>
        <w:spacing w:line="300" w:lineRule="auto" w:after="80"/>
        <w:ind w:left="340" w:hanging="340"/>
      </w:pPr>
      <w:r>
        <w:rPr>
          <w:rFonts w:ascii="Noto Serif CJK SC" w:hAnsi="Noto Serif CJK SC" w:eastAsia="Noto Serif CJK SC"/>
          <w:sz w:val="19"/>
        </w:rPr>
        <w:t>[1] Mengist, C. H. K., &amp; Seo, K.-H. (2026). Improving Subseasonal to Seasonal Global 2-m Temperature and Precipitation Forecasts Using a Deep Learning-Based Postprocessing Approach. Monthly Weather Review, 154(3).</w:t>
      </w:r>
    </w:p>
    <w:p>
      <w:pPr>
        <w:spacing w:line="300" w:lineRule="auto" w:after="80"/>
        <w:ind w:left="340" w:hanging="340"/>
      </w:pPr>
      <w:r>
        <w:rPr>
          <w:rFonts w:ascii="Noto Serif CJK SC" w:hAnsi="Noto Serif CJK SC" w:eastAsia="Noto Serif CJK SC"/>
          <w:sz w:val="19"/>
        </w:rPr>
        <w:t>[2] Xie, J., Hsu, P.-C., Hu, Y., Zhang, H., &amp; Ye, M. (2024). Advancing Subseasonal Surface Air Temperature and Heat Wave Prediction Skill in China by Incorporating Scale Interaction in a Deep Learning Model. Geophysical Research Letters, 51, e2024GL111076. https://doi.org/10.1029/2024GL111076</w:t>
      </w:r>
    </w:p>
    <w:p>
      <w:pPr>
        <w:spacing w:line="300" w:lineRule="auto" w:after="80"/>
        <w:ind w:left="340" w:hanging="340"/>
      </w:pPr>
      <w:r>
        <w:rPr>
          <w:rFonts w:ascii="Noto Serif CJK SC" w:hAnsi="Noto Serif CJK SC" w:eastAsia="Noto Serif CJK SC"/>
          <w:sz w:val="19"/>
        </w:rPr>
        <w:t>[3] Pan, S., Yin, Z., Fan, Y., Han, T., Duan, M., &amp; Wang, H. (2026). Sub-seasonal prediction of extreme high temperature over the Yangtze River Basin based on deep learning. Atmospheric Research, 330, 108602. https://doi.org/10.1016/j.atmosres.2025.108602</w:t>
      </w:r>
    </w:p>
    <w:p>
      <w:pPr>
        <w:spacing w:line="300" w:lineRule="auto" w:after="80"/>
        <w:ind w:left="340" w:hanging="340"/>
      </w:pPr>
      <w:r>
        <w:rPr>
          <w:rFonts w:ascii="Noto Serif CJK SC" w:hAnsi="Noto Serif CJK SC" w:eastAsia="Noto Serif CJK SC"/>
          <w:sz w:val="19"/>
        </w:rPr>
        <w:t>[4] Lu, B. et al. (2024). Anatomy of the 2022 Scorching Summer in the Yangtze River Basin Using the SINTEX-F2 Seasonal Prediction System. Geophysical Research Letters. https://doi.org/10.1029/2024GL109554</w:t>
      </w:r>
    </w:p>
    <w:p>
      <w:pPr>
        <w:spacing w:line="300" w:lineRule="auto" w:after="80"/>
        <w:ind w:left="340" w:hanging="340"/>
      </w:pPr>
      <w:r>
        <w:rPr>
          <w:rFonts w:ascii="Noto Serif CJK SC" w:hAnsi="Noto Serif CJK SC" w:eastAsia="Noto Serif CJK SC"/>
          <w:sz w:val="19"/>
        </w:rPr>
        <w:t>[5] Lv, B., Wang, S., Chen, G., et al. (2026). Precipitation and soil moisture coupling constrains subseasonal predictability of a prolonged extreme heatwave. Communications Earth &amp; Environment, 7, 323. https://doi.org/10.1038/s43247-026-03341-1</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fldChar w:fldCharType="begin"/>
      <w:instrText xml:space="preserve"> PAGE </w:instrText>
      <w:fldChar w:fldCharType="end"/>
    </w:r>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