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Introduction to the mine pool node</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bookkeeping output</w:t>
              </w:r>
            </w:sdtContent>
          </w:sdt>
          <w:r>
            <w:rPr>
              <w:sz w:val="28"/>
              <w:szCs w:val="28"/>
            </w:rPr>
            <w:tab/>
          </w:r>
          <w:bookmarkStart w:id="6" w:name="_Toc25210_WPSOffice_Level1Page"/>
          <w:r>
            <w:rPr>
              <w:sz w:val="28"/>
              <w:szCs w:val="28"/>
            </w:rPr>
            <w:t>7</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bookmarkStart w:id="7" w:name="_Toc251_WPSOffice_Level1Page"/>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node plan</w:t>
              </w:r>
              <w:r>
                <w:rPr>
                  <w:sz w:val="28"/>
                  <w:szCs w:val="28"/>
                </w:rPr>
                <w:tab/>
              </w:r>
            </w:sdtContent>
          </w:sdt>
          <w:r>
            <w:rPr>
              <w:sz w:val="28"/>
              <w:szCs w:val="28"/>
            </w:rPr>
            <w:t>8</w:t>
          </w:r>
          <w:bookmarkEnd w:id="7"/>
          <w:r>
            <w:rPr>
              <w:sz w:val="28"/>
              <w:szCs w:val="28"/>
            </w:rPr>
            <w:fldChar w:fldCharType="end"/>
          </w:r>
        </w:p>
        <w:p>
          <w:pPr>
            <w:pStyle w:val="9"/>
            <w:tabs>
              <w:tab w:val="right" w:leader="dot" w:pos="8306"/>
            </w:tabs>
            <w:rPr>
              <w:sz w:val="28"/>
              <w:szCs w:val="28"/>
            </w:rPr>
          </w:pPr>
          <w:r>
            <w:rPr>
              <w:rFonts w:hint="eastAsia" w:ascii="微软雅黑" w:hAnsi="微软雅黑" w:eastAsia="微软雅黑" w:cs="微软雅黑"/>
              <w:sz w:val="28"/>
              <w:szCs w:val="28"/>
              <w:lang w:val="en-US" w:eastAsia="zh-CN" w:bidi="en-US"/>
            </w:rPr>
            <w:t xml:space="preserve"> </w:t>
          </w: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08c7d40e-8372-4da9-966a-db5ae4ec029f}"/>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 Mine</w:t>
              </w:r>
              <w:r>
                <w:rPr>
                  <w:sz w:val="28"/>
                  <w:szCs w:val="28"/>
                </w:rPr>
                <w:tab/>
              </w:r>
              <w:r>
                <w:rPr>
                  <w:rFonts w:hint="eastAsia" w:ascii="Arial" w:hAnsi="Arial" w:eastAsia="黑体" w:cs="微软雅黑"/>
                  <w:sz w:val="28"/>
                  <w:szCs w:val="28"/>
                  <w:lang w:val="en-US" w:eastAsia="zh-CN" w:bidi="en-US"/>
                </w:rPr>
                <w:t>9</w:t>
              </w:r>
            </w:sdtContent>
          </w:sdt>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bookmarkStart w:id="8" w:name="_Toc4318_WPSOffice_Level1Page"/>
          <w:r>
            <w:rPr>
              <w:b/>
              <w:bCs/>
              <w:sz w:val="28"/>
              <w:szCs w:val="28"/>
            </w:rPr>
            <w:t>8</w:t>
          </w:r>
          <w:bookmarkEnd w:id="8"/>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bookmarkStart w:id="9" w:name="_Toc32496_WPSOffice_Level1Page"/>
          <w:r>
            <w:rPr>
              <w:b/>
              <w:bCs/>
              <w:sz w:val="28"/>
              <w:szCs w:val="28"/>
            </w:rPr>
            <w:t>9</w:t>
          </w:r>
          <w:bookmarkEnd w:id="9"/>
          <w:r>
            <w:rPr>
              <w:b/>
              <w:bCs/>
              <w:sz w:val="28"/>
              <w:szCs w:val="28"/>
            </w:rPr>
            <w:fldChar w:fldCharType="end"/>
          </w:r>
          <w:bookmarkEnd w:id="0"/>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10" w:name="_Toc10567_WPSOffice_Level1"/>
      <w:r>
        <w:rPr>
          <w:rFonts w:hint="eastAsia"/>
          <w:lang w:eastAsia="zh-CN"/>
        </w:rPr>
        <w:t>Summary：</w:t>
      </w:r>
      <w:bookmarkEnd w:id="10"/>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b/>
          <w:bCs/>
          <w:sz w:val="28"/>
          <w:szCs w:val="28"/>
          <w:lang w:val="en-US" w:eastAsia="zh-CN"/>
        </w:rPr>
      </w:pPr>
      <w:r>
        <w:rPr>
          <w:rFonts w:hint="eastAsia" w:asciiTheme="minorAscii" w:hAnsiTheme="minorEastAsia" w:eastAsiaTheme="minorEastAsia" w:cstheme="minorEastAsia"/>
          <w:b/>
          <w:bCs/>
          <w:sz w:val="28"/>
          <w:szCs w:val="28"/>
          <w:lang w:val="en-US" w:eastAsia="zh-CN"/>
        </w:rPr>
        <w:t xml:space="preserve">The Code Token </w:t>
      </w:r>
      <w:r>
        <w:rPr>
          <w:rFonts w:hint="eastAsia" w:asciiTheme="minorAscii" w:hAnsiTheme="minorEastAsia" w:eastAsiaTheme="minorEastAsia" w:cstheme="minorEastAsia"/>
          <w:sz w:val="28"/>
          <w:szCs w:val="28"/>
          <w:lang w:val="en-US" w:eastAsia="zh-CN"/>
        </w:rPr>
        <w:t>program generates an unlimited number of super nodes and nodes, and the block data is stored on the super nodes and nodes. Users can download the super node and node programs for free on GitHub and set up the running environment. When Ctk encounters a devastating blow, any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1" w:name="_Toc16036_WPSOffice_Level1"/>
      <w:r>
        <w:rPr>
          <w:rFonts w:hint="eastAsia"/>
          <w:lang w:val="en-US" w:eastAsia="zh-CN"/>
        </w:rPr>
        <w:t>Hyperledger Ctk</w:t>
      </w:r>
      <w:bookmarkEnd w:id="11"/>
      <w:r>
        <w:rPr>
          <w:rFonts w:hint="eastAsia"/>
          <w:lang w:val="en-US" w:eastAsia="zh-CN"/>
        </w:rPr>
        <w:t xml:space="preserve"> </w:t>
      </w:r>
      <w:r>
        <w:rPr>
          <w:rFonts w:hint="eastAsia"/>
          <w:lang w:eastAsia="zh-CN"/>
        </w:rPr>
        <w:t>Introduction</w:t>
      </w:r>
      <w:bookmarkStart w:id="12" w:name="_Toc3084_WPSOffice_Level1"/>
    </w:p>
    <w:p>
      <w:pPr>
        <w:pStyle w:val="2"/>
      </w:pPr>
      <w:r>
        <w:rPr>
          <w:rFonts w:hint="eastAsia"/>
          <w:lang w:val="en-US" w:eastAsia="zh-CN"/>
        </w:rPr>
        <w:t>1.1</w:t>
      </w:r>
      <w:bookmarkEnd w:id="12"/>
      <w:r>
        <w:rPr>
          <w:rFonts w:hint="eastAsia"/>
          <w:lang w:val="en-US" w:eastAsia="zh-CN"/>
        </w:rPr>
        <w:t xml:space="preserve"> </w:t>
      </w:r>
      <w:r>
        <w:rPr>
          <w:rFonts w:hint="eastAsia" w:ascii="Arial" w:hAnsi="Arial" w:eastAsia="黑体" w:cs="微软雅黑"/>
          <w:sz w:val="28"/>
          <w:szCs w:val="28"/>
        </w:rPr>
        <w:t>Mine Pool Node Introduction</w:t>
      </w: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p>
    <w:p>
      <w:pPr>
        <w:pStyle w:val="3"/>
      </w:pPr>
    </w:p>
    <w:p>
      <w:pPr>
        <w:pStyle w:val="3"/>
        <w:rPr>
          <w:rFonts w:hint="eastAsia" w:asciiTheme="minorEastAsia" w:hAnsiTheme="minorEastAsia" w:eastAsiaTheme="minorEastAsia" w:cstheme="minorEastAsia"/>
          <w:b/>
          <w:bCs/>
          <w:sz w:val="44"/>
          <w:szCs w:val="44"/>
          <w:lang w:val="en-US" w:eastAsia="zh-CN"/>
        </w:rPr>
      </w:pP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13"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13"/>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 xml:space="preserve">0% mortgage required (ie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 xml:space="preserve">Returned in 10 months, returning 10% per month (ie returning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mortgage the application to support the 100% Ctk of the number of tokens, and after more than 70% of the referendum votes and the number of votes exceeded the application quota of 10% can be successful .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bookmarkStart w:id="16" w:name="_GoBack"/>
      <w:bookmarkEnd w:id="16"/>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14"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14"/>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lang w:val="en-US" w:eastAsia="zh-CN"/>
        </w:rPr>
      </w:pPr>
      <w:bookmarkStart w:id="15" w:name="_Toc251_WPSOffice_Level1"/>
      <w:r>
        <w:rPr>
          <w:rFonts w:hint="eastAsia"/>
          <w:lang w:val="en-US" w:eastAsia="zh-CN"/>
        </w:rPr>
        <w:t>1.5</w:t>
      </w:r>
      <w:bookmarkEnd w:id="15"/>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 (automatic adjustment according to progress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Remarks: After the mortgage is completed, you will get an encryption certificate. After downloading the open source program configuration environment for free, fill in the encryption certificate.</w:t>
            </w:r>
          </w:p>
        </w:tc>
      </w:tr>
    </w:tbl>
    <w:p>
      <w:pPr>
        <w:rPr>
          <w:rFonts w:hint="eastAsia" w:asciiTheme="minorAscii" w:hAnsiTheme="minorEastAsia" w:eastAsiaTheme="minorEastAsia" w:cstheme="minorEastAsia"/>
          <w:b/>
          <w:bCs/>
          <w:sz w:val="52"/>
          <w:szCs w:val="52"/>
          <w:lang w:val="en-US" w:eastAsia="zh-CN" w:bidi="en-US"/>
        </w:rPr>
      </w:pPr>
      <w:r>
        <w:rPr>
          <w:rFonts w:hint="eastAsia" w:asciiTheme="minorAscii" w:hAnsiTheme="minorEastAsia" w:eastAsiaTheme="minorEastAsia" w:cstheme="minorEastAsia"/>
          <w:b/>
          <w:bCs/>
          <w:sz w:val="52"/>
          <w:szCs w:val="52"/>
          <w:lang w:val="en-US" w:eastAsia="zh-CN" w:bidi="en-US"/>
        </w:rPr>
        <w:t>1.6 Mine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application criteria: Mine applicants need to mortgage 1 million Code Token to apply for a mine certificate. After the application is successful, the mortgage token will be returned within 10 months, and 10% will be returned every month.</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program acquisition: Mine open source programs can be downloaded directly from the Github open source community for free.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Mine Hosting: The mine provides data storage hosting services to the nodes, which will be rewarded with 10% of the accounting revenue of the managed nodes. The greater the bandwidth of the mine, the higher the computing power and the faster the speed, it will be more likely to obtain priority billing rights. In order to ensure the high computing power, the hardware investment of the mine is relatively large compared with the ordinary nodes. Generally speaking, the accounting rewards of the mining pool are mostly better than the ordinary nodes.</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Calculation of power rental: It is recommended that the bandwidth occupancy fee for the calculation of the power rental, the electricity fee, and the comprehensive usage fee for the aircraft usage fee should be no less than US$1,000/year to ensure that there is sufficient funds for the mine node to calculate the normal operation.</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179939C4"/>
    <w:rsid w:val="1B24423C"/>
    <w:rsid w:val="1E7E3388"/>
    <w:rsid w:val="22551214"/>
    <w:rsid w:val="34960C14"/>
    <w:rsid w:val="48851613"/>
    <w:rsid w:val="579D5B4E"/>
    <w:rsid w:val="65A43097"/>
    <w:rsid w:val="752B4AD2"/>
    <w:rsid w:val="76CE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
      <w:docPartPr>
        <w:name w:val="{08c7d40e-8372-4da9-966a-db5ae4ec029f}"/>
        <w:style w:val=""/>
        <w:category>
          <w:name w:val="常规"/>
          <w:gallery w:val="placeholder"/>
        </w:category>
        <w:types>
          <w:type w:val="bbPlcHdr"/>
        </w:types>
        <w:behaviors>
          <w:behavior w:val="content"/>
        </w:behaviors>
        <w:description w:val=""/>
        <w:guid w:val="{08c7d40e-8372-4da9-966a-db5ae4ec02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2019-07-30T07:28:32Z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