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3" w:name="_Toc16036_WPSOffice_Level1Page"/>
          <w:r>
            <w:rPr>
              <w:b/>
              <w:bCs/>
              <w:sz w:val="28"/>
              <w:szCs w:val="28"/>
            </w:rPr>
            <w:t>5</w:t>
          </w:r>
          <w:bookmarkEnd w:id="3"/>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4" w:name="_Toc3084_WPSOffice_Level1Page"/>
          <w:r>
            <w:rPr>
              <w:sz w:val="28"/>
              <w:szCs w:val="28"/>
            </w:rPr>
            <w:t>5</w:t>
          </w:r>
          <w:bookmarkEnd w:id="4"/>
          <w:r>
            <w:rPr>
              <w:sz w:val="28"/>
              <w:szCs w:val="28"/>
            </w:rPr>
            <w:fldChar w:fldCharType="end"/>
          </w:r>
        </w:p>
        <w:p>
          <w:pPr>
            <w:pStyle w:val="9"/>
            <w:tabs>
              <w:tab w:val="right" w:leader="dot" w:pos="8306"/>
            </w:tabs>
            <w:ind w:firstLine="560" w:firstLineChars="200"/>
            <w:rPr>
              <w:sz w:val="28"/>
              <w:szCs w:val="28"/>
            </w:rPr>
          </w:pPr>
          <w:r>
            <w:rPr>
              <w:rFonts w:hint="eastAsia" w:ascii="Arial" w:hAnsi="Arial" w:eastAsia="黑体" w:cs="微软雅黑"/>
              <w:sz w:val="28"/>
              <w:szCs w:val="28"/>
            </w:rPr>
            <w:t>1.</w:t>
          </w:r>
          <w:r>
            <w:rPr>
              <w:rFonts w:hint="eastAsia" w:ascii="Arial" w:hAnsi="Arial" w:eastAsia="黑体" w:cs="微软雅黑"/>
              <w:sz w:val="28"/>
              <w:szCs w:val="28"/>
              <w:lang w:val="en-US" w:eastAsia="zh-CN"/>
            </w:rPr>
            <w:t>2</w:t>
          </w:r>
          <w:r>
            <w:rPr>
              <w:rFonts w:hint="eastAsia" w:ascii="Arial" w:hAnsi="Arial" w:eastAsia="黑体" w:cs="微软雅黑"/>
              <w:sz w:val="28"/>
              <w:szCs w:val="28"/>
              <w:lang w:eastAsia="zh-CN"/>
            </w:rPr>
            <w:t>共进模式</w:t>
          </w:r>
          <w:r>
            <w:rPr>
              <w:sz w:val="28"/>
              <w:szCs w:val="28"/>
            </w:rPr>
            <w:tab/>
          </w:r>
          <w:r>
            <w:rPr>
              <w:sz w:val="28"/>
              <w:szCs w:val="28"/>
            </w:rPr>
            <w:t>5</w:t>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5" w:name="_Toc17387_WPSOffice_Level1Page"/>
          <w:r>
            <w:rPr>
              <w:sz w:val="28"/>
              <w:szCs w:val="28"/>
            </w:rPr>
            <w:t>6</w:t>
          </w:r>
          <w:bookmarkEnd w:id="5"/>
          <w:r>
            <w:rPr>
              <w:sz w:val="28"/>
              <w:szCs w:val="28"/>
            </w:rPr>
            <w:fldChar w:fldCharType="end"/>
          </w:r>
        </w:p>
        <w:p>
          <w:pPr>
            <w:pStyle w:val="9"/>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1.4记账产出</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1.5节点计划</w:t>
              </w:r>
            </w:sdtContent>
          </w:sdt>
          <w:r>
            <w:rPr>
              <w:sz w:val="28"/>
              <w:szCs w:val="28"/>
            </w:rPr>
            <w:tab/>
          </w:r>
          <w:bookmarkStart w:id="6" w:name="_Toc251_WPSOffice_Level1Page"/>
          <w:r>
            <w:rPr>
              <w:sz w:val="28"/>
              <w:szCs w:val="28"/>
            </w:rPr>
            <w:t>8</w:t>
          </w:r>
          <w:bookmarkEnd w:id="6"/>
          <w:r>
            <w:rPr>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f75ed86d-7127-45ad-90a8-274374da7764}"/>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6矿场</w:t>
              </w:r>
            </w:sdtContent>
          </w:sdt>
          <w:r>
            <w:rPr>
              <w:sz w:val="28"/>
              <w:szCs w:val="28"/>
            </w:rPr>
            <w:tab/>
          </w:r>
          <w:r>
            <w:rPr>
              <w:rFonts w:hint="eastAsia"/>
              <w:sz w:val="28"/>
              <w:szCs w:val="28"/>
              <w:lang w:val="en-US" w:eastAsia="zh-CN"/>
            </w:rPr>
            <w:t>9</w:t>
          </w:r>
          <w:r>
            <w:rPr>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r>
            <w:rPr>
              <w:rFonts w:hint="eastAsia"/>
              <w:b/>
              <w:bCs/>
              <w:sz w:val="28"/>
              <w:szCs w:val="28"/>
              <w:lang w:val="en-US" w:eastAsia="zh-CN"/>
            </w:rPr>
            <w:t>9</w:t>
          </w:r>
          <w:r>
            <w:rPr>
              <w:b/>
              <w:bCs/>
              <w:sz w:val="28"/>
              <w:szCs w:val="28"/>
            </w:rPr>
            <w:fldChar w:fldCharType="end"/>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0</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7" w:name="_Toc10567_WPSOffice_Level1"/>
      <w:r>
        <w:rPr>
          <w:rFonts w:hint="eastAsia"/>
          <w:lang w:eastAsia="zh-CN"/>
        </w:rPr>
        <w:t>摘要：</w:t>
      </w:r>
      <w:bookmarkEnd w:id="7"/>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8" w:name="_Toc3894_WPSOffice_Level1"/>
      <w:bookmarkStart w:id="9" w:name="_Toc1102_WPSOffice_Level1"/>
      <w:r>
        <w:rPr>
          <w:rFonts w:hint="eastAsia"/>
          <w:lang w:eastAsia="zh-CN"/>
        </w:rPr>
        <w:t>背景</w:t>
      </w:r>
      <w:bookmarkEnd w:id="8"/>
      <w:bookmarkEnd w:id="9"/>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bookmarkStart w:id="33" w:name="_GoBack"/>
      <w:bookmarkEnd w:id="33"/>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计划产生19个超级节点和不限数量的节点，区块数据存放于超级节点和节点的设备上。</w:t>
      </w:r>
      <w:r>
        <w:rPr>
          <w:rFonts w:hint="eastAsia" w:asciiTheme="minorEastAsia" w:hAnsiTheme="minorEastAsia" w:eastAsiaTheme="minorEastAsia" w:cstheme="minorEastAsia"/>
          <w:sz w:val="28"/>
          <w:szCs w:val="28"/>
          <w:lang w:eastAsia="zh-CN"/>
        </w:rPr>
        <w:t>用户可以在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上免费下载超级节点和节点的程序，自行搭建运行环境。在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10" w:name="_Toc16036_WPSOffice_Level1"/>
      <w:r>
        <w:rPr>
          <w:rFonts w:hint="eastAsia"/>
          <w:lang w:val="en-US" w:eastAsia="zh-CN"/>
        </w:rPr>
        <w:t>Hyperledger Ctk</w:t>
      </w:r>
      <w:r>
        <w:rPr>
          <w:rFonts w:hint="eastAsia"/>
          <w:lang w:eastAsia="zh-CN"/>
        </w:rPr>
        <w:t>介绍</w:t>
      </w:r>
      <w:bookmarkEnd w:id="10"/>
    </w:p>
    <w:p>
      <w:pPr>
        <w:pStyle w:val="3"/>
        <w:rPr>
          <w:rFonts w:hint="eastAsia"/>
          <w:lang w:eastAsia="zh-CN"/>
        </w:rPr>
      </w:pPr>
      <w:bookmarkStart w:id="11" w:name="_Toc3084_WPSOffice_Level1"/>
      <w:r>
        <w:rPr>
          <w:rFonts w:hint="eastAsia"/>
          <w:lang w:val="en-US" w:eastAsia="zh-CN"/>
        </w:rPr>
        <w:t>1.1</w:t>
      </w:r>
      <w:r>
        <w:rPr>
          <w:rFonts w:hint="eastAsia"/>
          <w:lang w:eastAsia="zh-CN"/>
        </w:rPr>
        <w:t>矿池节点介绍</w:t>
      </w:r>
      <w:bookmarkEnd w:id="11"/>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r>
        <w:rPr>
          <w:rFonts w:hint="eastAsia"/>
          <w:lang w:val="en-US" w:eastAsia="zh-CN"/>
        </w:rPr>
        <w:t>1.2共进模式</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2" w:name="_Toc17387_WPSOffice_Level1"/>
      <w:r>
        <w:rPr>
          <w:rFonts w:hint="eastAsia"/>
          <w:lang w:val="en-US" w:eastAsia="zh-CN"/>
        </w:rPr>
        <w:t>1.3侧链扶持计划</w:t>
      </w:r>
      <w:bookmarkEnd w:id="12"/>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基金会每48小时更新一次回购状态，用户可以通过公开数据查询,我们会实时公布交易所回购挂单，同时用户可以通过区块链浏览器查看回购过程和回购状态，整个过程完全透明，公平。回购计划与共进计划保持顺序，即第一轮回购10万usdt按照100比7000比例，第二轮回购10万usdt按照100比6999，以此类推循环完成。</w:t>
      </w:r>
      <w:r>
        <w:rPr>
          <w:rFonts w:hint="eastAsia" w:asciiTheme="minorEastAsia" w:hAnsiTheme="minorEastAsia" w:eastAsiaTheme="minorEastAsia" w:cstheme="minorEastAsia"/>
          <w:sz w:val="28"/>
          <w:szCs w:val="28"/>
          <w:lang w:eastAsia="zh-CN"/>
        </w:rPr>
        <w:t>合约中的信息全部对外公开，无人可动，保证项目的公正，透明。</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需抵押</w:t>
            </w:r>
            <w:r>
              <w:rPr>
                <w:rFonts w:hint="eastAsia" w:asciiTheme="minorEastAsia" w:hAnsiTheme="minorEastAsia" w:eastAsiaTheme="minorEastAsia" w:cstheme="minorEastAsia"/>
                <w:sz w:val="28"/>
                <w:szCs w:val="28"/>
                <w:lang w:val="en-US" w:eastAsia="zh-CN"/>
              </w:rPr>
              <w:t>20%（即20万枚）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10%（即每月返还2万枚）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均用智能合约锁定，自动执行。所有申请需要3天公示期，公示期内任何持有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w:t>
      </w:r>
      <w:r>
        <w:rPr>
          <w:rFonts w:hint="eastAsia" w:asciiTheme="minorEastAsia" w:hAnsiTheme="minorEastAsia" w:eastAsiaTheme="minorEastAsia" w:cstheme="minorEastAsia"/>
          <w:sz w:val="28"/>
          <w:szCs w:val="28"/>
          <w:lang w:eastAsia="zh-CN"/>
        </w:rPr>
        <w:t>20%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70%以上得票支持</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lang w:val="en-US" w:eastAsia="zh-CN"/>
        </w:rPr>
        <w:t>投票周期三天以后</w:t>
      </w:r>
      <w:r>
        <w:rPr>
          <w:rFonts w:hint="eastAsia" w:asciiTheme="minorEastAsia" w:hAnsiTheme="minorEastAsia" w:eastAsiaTheme="minorEastAsia" w:cstheme="minorEastAsia"/>
          <w:sz w:val="28"/>
          <w:szCs w:val="28"/>
          <w:lang w:eastAsia="zh-CN"/>
        </w:rPr>
        <w:t>即可申请成功。申请人所抵押的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备注：投票公示期为</w:t>
            </w:r>
            <w:r>
              <w:rPr>
                <w:rFonts w:hint="eastAsia" w:asciiTheme="minorEastAsia" w:hAnsiTheme="minorEastAsia" w:eastAsiaTheme="minorEastAsia" w:cstheme="minorEastAsia"/>
                <w:sz w:val="28"/>
                <w:szCs w:val="28"/>
                <w:lang w:val="en-US" w:eastAsia="zh-CN"/>
              </w:rPr>
              <w:t>3天，投票结束后开始执行返还智能合约。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3" w:name="_Toc25210_WPSOffice_Level1"/>
      <w:r>
        <w:rPr>
          <w:rFonts w:hint="eastAsia"/>
          <w:lang w:val="en-US" w:eastAsia="zh-CN"/>
        </w:rPr>
        <w:t>1.4记账产出</w:t>
      </w:r>
      <w:bookmarkEnd w:id="13"/>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bl>
    <w:p>
      <w:pPr>
        <w:pStyle w:val="3"/>
        <w:rPr>
          <w:rFonts w:hint="eastAsia" w:asciiTheme="minorEastAsia" w:hAnsiTheme="minorEastAsia" w:eastAsiaTheme="minorEastAsia" w:cstheme="minorEastAsia"/>
          <w:b w:val="0"/>
          <w:sz w:val="28"/>
          <w:szCs w:val="28"/>
          <w:lang w:val="en-US" w:eastAsia="zh-CN" w:bidi="en-US"/>
        </w:rPr>
      </w:pPr>
      <w:bookmarkStart w:id="14" w:name="_Toc251_WPSOffice_Level1"/>
      <w:r>
        <w:rPr>
          <w:rFonts w:hint="eastAsia" w:asciiTheme="minorEastAsia" w:hAnsiTheme="minorEastAsia" w:eastAsiaTheme="minorEastAsia" w:cstheme="minorEastAsia"/>
          <w:b w:val="0"/>
          <w:sz w:val="28"/>
          <w:szCs w:val="28"/>
          <w:lang w:val="en-US" w:eastAsia="zh-CN" w:bidi="en-US"/>
        </w:rPr>
        <w:t>备注：节点记账每生成一个新的区块，执行一次区块奖励。</w:t>
      </w:r>
    </w:p>
    <w:p>
      <w:pPr>
        <w:pStyle w:val="3"/>
        <w:rPr>
          <w:rFonts w:hint="eastAsia"/>
          <w:lang w:val="en-US" w:eastAsia="zh-CN"/>
        </w:rPr>
      </w:pPr>
      <w:r>
        <w:rPr>
          <w:rFonts w:hint="eastAsia"/>
          <w:lang w:val="en-US" w:eastAsia="zh-CN"/>
        </w:rPr>
        <w:t>1.5节点计划</w:t>
      </w:r>
      <w:bookmarkEnd w:id="14"/>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抵押30万（根据共进进度自动调整）</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56" w:type="dxa"/>
            <w:gridSpan w:val="4"/>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备注：抵押完成后会得到一个加密证书，免费下载开源程序配置环境后，填写加密证书即可。</w:t>
            </w:r>
          </w:p>
        </w:tc>
      </w:tr>
    </w:tbl>
    <w:p>
      <w:pPr>
        <w:pStyle w:val="3"/>
        <w:rPr>
          <w:rFonts w:hint="eastAsia"/>
          <w:lang w:val="en-US" w:eastAsia="zh-CN"/>
        </w:rPr>
      </w:pPr>
      <w:bookmarkStart w:id="15" w:name="_Toc4318_WPSOffice_Level1"/>
      <w:r>
        <w:rPr>
          <w:rFonts w:hint="eastAsia"/>
          <w:lang w:val="en-US" w:eastAsia="zh-CN"/>
        </w:rPr>
        <w:t>1.6矿场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矿场申请标准：矿场申请者需要抵押</w:t>
      </w:r>
      <w:r>
        <w:rPr>
          <w:rFonts w:hint="eastAsia" w:asciiTheme="minorEastAsia" w:hAnsiTheme="minorEastAsia" w:eastAsiaTheme="minorEastAsia" w:cstheme="minorEastAsia"/>
          <w:sz w:val="28"/>
          <w:szCs w:val="28"/>
          <w:lang w:val="en-US" w:eastAsia="zh-CN"/>
        </w:rPr>
        <w:t>100万Code Token以申请矿场证书，申请成功后十个月之内返还抵押Token，每月返还10%。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矿场程序获取：矿场开源程序可以直接在Github开源社区免费下载。</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矿场托管：矿场对节点提供数据存储托管服务，将会得到托管节点记账收入的10%作为奖励。矿场的带宽越大，算力越高，速度越快，将更有可能获得优先记账权。为保证算力高度，矿场的硬件投入对比普通节点来说相对较大，一般来说矿池的记账奖励大多都会优于普通节点。</w:t>
      </w:r>
    </w:p>
    <w:p>
      <w:pPr>
        <w:rPr>
          <w:rFonts w:hint="eastAsia" w:asciiTheme="minorAscii" w:hAnsiTheme="minorEastAsia" w:eastAsiaTheme="minorEastAsia" w:cstheme="minorEastAsia"/>
          <w:b/>
          <w:bCs/>
          <w:sz w:val="52"/>
          <w:szCs w:val="52"/>
          <w:lang w:val="en-US" w:eastAsia="zh-CN" w:bidi="en-US"/>
        </w:rPr>
      </w:pP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建议</w:t>
      </w: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的带宽占用费，电费，机位使用费综合收费价格不低于</w:t>
      </w:r>
      <w:r>
        <w:rPr>
          <w:rFonts w:hint="eastAsia" w:asciiTheme="minorEastAsia" w:hAnsiTheme="minorEastAsia" w:eastAsiaTheme="minorEastAsia" w:cstheme="minorEastAsia"/>
          <w:sz w:val="28"/>
          <w:szCs w:val="28"/>
          <w:lang w:val="en-US" w:eastAsia="zh-CN"/>
        </w:rPr>
        <w:t>1000美金/年，以保证有足够的资金让矿场节点算力达标正常运行。</w:t>
      </w:r>
    </w:p>
    <w:p>
      <w:pPr>
        <w:pStyle w:val="2"/>
        <w:rPr>
          <w:rFonts w:hint="eastAsia"/>
          <w:lang w:val="en-US" w:eastAsia="zh-CN"/>
        </w:rPr>
      </w:pPr>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5"/>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6"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6"/>
    </w:p>
    <w:p>
      <w:pPr>
        <w:rPr>
          <w:rFonts w:hint="eastAsia" w:asciiTheme="minorEastAsia" w:hAnsiTheme="minorEastAsia" w:eastAsiaTheme="minorEastAsia" w:cstheme="minorEastAsia"/>
          <w:sz w:val="28"/>
          <w:szCs w:val="28"/>
        </w:rPr>
      </w:pPr>
      <w:bookmarkStart w:id="17"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17"/>
    </w:p>
    <w:p>
      <w:pPr>
        <w:rPr>
          <w:rFonts w:hint="eastAsia" w:asciiTheme="minorEastAsia" w:hAnsiTheme="minorEastAsia" w:eastAsiaTheme="minorEastAsia" w:cstheme="minorEastAsia"/>
          <w:sz w:val="28"/>
          <w:szCs w:val="28"/>
        </w:rPr>
      </w:pPr>
      <w:bookmarkStart w:id="18"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18"/>
    </w:p>
    <w:p>
      <w:pPr>
        <w:rPr>
          <w:rFonts w:hint="eastAsia" w:asciiTheme="minorEastAsia" w:hAnsiTheme="minorEastAsia" w:eastAsiaTheme="minorEastAsia" w:cstheme="minorEastAsia"/>
          <w:sz w:val="28"/>
          <w:szCs w:val="28"/>
        </w:rPr>
      </w:pPr>
      <w:bookmarkStart w:id="19"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19"/>
    </w:p>
    <w:p>
      <w:pPr>
        <w:rPr>
          <w:rFonts w:hint="eastAsia" w:asciiTheme="minorEastAsia" w:hAnsiTheme="minorEastAsia" w:eastAsiaTheme="minorEastAsia" w:cstheme="minorEastAsia"/>
          <w:sz w:val="28"/>
          <w:szCs w:val="28"/>
        </w:rPr>
      </w:pPr>
      <w:bookmarkStart w:id="20"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20"/>
    </w:p>
    <w:p>
      <w:pPr>
        <w:rPr>
          <w:rFonts w:hint="eastAsia" w:asciiTheme="minorEastAsia" w:hAnsiTheme="minorEastAsia" w:eastAsiaTheme="minorEastAsia" w:cstheme="minorEastAsia"/>
          <w:sz w:val="28"/>
          <w:szCs w:val="28"/>
        </w:rPr>
      </w:pPr>
      <w:bookmarkStart w:id="21"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1"/>
    </w:p>
    <w:p>
      <w:pPr>
        <w:rPr>
          <w:rFonts w:hint="eastAsia" w:asciiTheme="minorEastAsia" w:hAnsiTheme="minorEastAsia" w:eastAsiaTheme="minorEastAsia" w:cstheme="minorEastAsia"/>
          <w:sz w:val="28"/>
          <w:szCs w:val="28"/>
        </w:rPr>
      </w:pPr>
      <w:bookmarkStart w:id="22"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2"/>
    </w:p>
    <w:p>
      <w:pPr>
        <w:rPr>
          <w:rFonts w:hint="eastAsia" w:asciiTheme="minorEastAsia" w:hAnsiTheme="minorEastAsia" w:eastAsiaTheme="minorEastAsia" w:cstheme="minorEastAsia"/>
          <w:sz w:val="28"/>
          <w:szCs w:val="28"/>
        </w:rPr>
      </w:pPr>
      <w:bookmarkStart w:id="23"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3"/>
    </w:p>
    <w:p>
      <w:pPr>
        <w:rPr>
          <w:rFonts w:hint="eastAsia" w:asciiTheme="minorEastAsia" w:hAnsiTheme="minorEastAsia" w:eastAsiaTheme="minorEastAsia" w:cstheme="minorEastAsia"/>
          <w:sz w:val="28"/>
          <w:szCs w:val="28"/>
        </w:rPr>
      </w:pPr>
      <w:bookmarkStart w:id="24"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4"/>
    </w:p>
    <w:p>
      <w:pPr>
        <w:rPr>
          <w:rFonts w:hint="eastAsia" w:asciiTheme="minorEastAsia" w:hAnsiTheme="minorEastAsia" w:eastAsiaTheme="minorEastAsia" w:cstheme="minorEastAsia"/>
          <w:sz w:val="28"/>
          <w:szCs w:val="28"/>
        </w:rPr>
      </w:pPr>
      <w:bookmarkStart w:id="25"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5"/>
    </w:p>
    <w:p>
      <w:pPr>
        <w:rPr>
          <w:rFonts w:hint="eastAsia" w:asciiTheme="minorEastAsia" w:hAnsiTheme="minorEastAsia" w:eastAsiaTheme="minorEastAsia" w:cstheme="minorEastAsia"/>
          <w:sz w:val="28"/>
          <w:szCs w:val="28"/>
        </w:rPr>
      </w:pPr>
      <w:bookmarkStart w:id="26"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6"/>
    </w:p>
    <w:p>
      <w:pPr>
        <w:rPr>
          <w:rFonts w:hint="eastAsia" w:asciiTheme="minorEastAsia" w:hAnsiTheme="minorEastAsia" w:eastAsiaTheme="minorEastAsia" w:cstheme="minorEastAsia"/>
          <w:sz w:val="28"/>
          <w:szCs w:val="28"/>
        </w:rPr>
      </w:pPr>
      <w:bookmarkStart w:id="27"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27"/>
    </w:p>
    <w:p>
      <w:pPr>
        <w:rPr>
          <w:rFonts w:hint="eastAsia" w:asciiTheme="minorEastAsia" w:hAnsiTheme="minorEastAsia" w:eastAsiaTheme="minorEastAsia" w:cstheme="minorEastAsia"/>
          <w:sz w:val="28"/>
          <w:szCs w:val="28"/>
        </w:rPr>
      </w:pPr>
      <w:bookmarkStart w:id="28"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28"/>
    </w:p>
    <w:p>
      <w:pPr>
        <w:rPr>
          <w:rFonts w:hint="eastAsia" w:asciiTheme="minorEastAsia" w:hAnsiTheme="minorEastAsia" w:eastAsiaTheme="minorEastAsia" w:cstheme="minorEastAsia"/>
          <w:sz w:val="28"/>
          <w:szCs w:val="28"/>
        </w:rPr>
      </w:pPr>
      <w:bookmarkStart w:id="29"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29"/>
    </w:p>
    <w:p>
      <w:pPr>
        <w:rPr>
          <w:rFonts w:hint="eastAsia" w:asciiTheme="minorEastAsia" w:hAnsiTheme="minorEastAsia" w:eastAsiaTheme="minorEastAsia" w:cstheme="minorEastAsia"/>
          <w:sz w:val="28"/>
          <w:szCs w:val="28"/>
        </w:rPr>
      </w:pPr>
      <w:bookmarkStart w:id="30"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30"/>
    </w:p>
    <w:p>
      <w:pPr>
        <w:rPr>
          <w:rFonts w:hint="eastAsia" w:asciiTheme="minorEastAsia" w:hAnsiTheme="minorEastAsia" w:eastAsiaTheme="minorEastAsia" w:cstheme="minorEastAsia"/>
          <w:sz w:val="28"/>
          <w:szCs w:val="28"/>
          <w:lang w:eastAsia="zh-CN"/>
        </w:rPr>
      </w:pPr>
      <w:bookmarkStart w:id="31"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1"/>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2" w:name="_Toc32496_WPSOffice_Level1"/>
      <w:r>
        <w:rPr>
          <w:rFonts w:hint="eastAsia"/>
          <w:lang w:val="en-US" w:eastAsia="zh-CN"/>
        </w:rPr>
        <w:t>感谢</w:t>
      </w:r>
      <w:bookmarkEnd w:id="32"/>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距离区块链的诞生，已经过去了整整十年。我们发现它的有些应用正在一步步背离了我们的初衷。但是code，这个我们曾经即希望与改变世界的工具，也开出了几朵让人惊喜的小花。我们坚信，技术终将结束我们这个世界的某些不合理规则。今天，code token的发布，我们希望他能够把贪婪、谎言赶出区块链世界。在共进模式进行的时候，我们会启用赎回合约。将所有募集到的usdt全部锁定，共进用户可以通过智能合约随时把code token进行反向兑换。</w:t>
      </w:r>
    </w:p>
    <w:p>
      <w:pPr>
        <w:rPr>
          <w:rFonts w:hint="eastAsia"/>
          <w:lang w:val="en-US" w:eastAsia="zh-CN"/>
        </w:rPr>
      </w:pPr>
      <w:r>
        <w:rPr>
          <w:rFonts w:hint="eastAsia" w:asciiTheme="minorEastAsia" w:hAnsiTheme="minorEastAsia" w:eastAsiaTheme="minorEastAsia" w:cstheme="minorEastAsia"/>
          <w:sz w:val="28"/>
          <w:szCs w:val="28"/>
          <w:lang w:val="en-US" w:eastAsia="zh-CN"/>
        </w:rPr>
        <w:t>所有一切，都是为了扶持侧链应用。我们将会提供区块链史上第一个全民公投来决定是否免费的生态侧链支持模式。这一举动，将大幅降低区块链大规模应用的门槛，让共享，民主，和公平更加真切的走进我们每一个人。在这里，感谢社群中贡献code的无私奉献者。</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rFonts w:hint="eastAsia" w:cs="宋体" w:asciiTheme="minorAscii"/>
        <w:b w:val="0"/>
        <w:bCs/>
        <w:i w:val="0"/>
        <w:iCs w:val="0"/>
        <w:color w:val="A6A6A6" w:themeColor="background1" w:themeShade="A6"/>
        <w:sz w:val="21"/>
        <w:szCs w:val="21"/>
        <w:u w:val="none"/>
        <w:lang w:val="en-US" w:eastAsia="zh-CN"/>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F435F53"/>
    <w:rsid w:val="1180178B"/>
    <w:rsid w:val="13DE6A23"/>
    <w:rsid w:val="165E6D6E"/>
    <w:rsid w:val="1A0B3F4A"/>
    <w:rsid w:val="221018DF"/>
    <w:rsid w:val="26CF77D3"/>
    <w:rsid w:val="28DF4DB5"/>
    <w:rsid w:val="35EC3BFC"/>
    <w:rsid w:val="363A6BE4"/>
    <w:rsid w:val="36F7789F"/>
    <w:rsid w:val="3FBA71D6"/>
    <w:rsid w:val="41BC7D18"/>
    <w:rsid w:val="426C0B3A"/>
    <w:rsid w:val="4C9D3832"/>
    <w:rsid w:val="4F7C5EA4"/>
    <w:rsid w:val="50B023C8"/>
    <w:rsid w:val="56713BD0"/>
    <w:rsid w:val="57384ABF"/>
    <w:rsid w:val="57C501C6"/>
    <w:rsid w:val="596879CA"/>
    <w:rsid w:val="5B564589"/>
    <w:rsid w:val="65B1100F"/>
    <w:rsid w:val="66564591"/>
    <w:rsid w:val="68107F50"/>
    <w:rsid w:val="68674E07"/>
    <w:rsid w:val="6A13474E"/>
    <w:rsid w:val="6D535020"/>
    <w:rsid w:val="726468EA"/>
    <w:rsid w:val="7442287B"/>
    <w:rsid w:val="74832D86"/>
    <w:rsid w:val="76E9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
      <w:docPartPr>
        <w:name w:val="{f75ed86d-7127-45ad-90a8-274374da7764}"/>
        <w:style w:val=""/>
        <w:category>
          <w:name w:val="常规"/>
          <w:gallery w:val="placeholder"/>
        </w:category>
        <w:types>
          <w:type w:val="bbPlcHdr"/>
        </w:types>
        <w:behaviors>
          <w:behavior w:val="content"/>
        </w:behaviors>
        <w:description w:val=""/>
        <w:guid w:val="{f75ed86d-7127-45ad-90a8-274374da77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579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2019-07-18T06:17:41Z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