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before="360"/>
        <w:jc w:val="left"/>
      </w:pPr>
      <w:r>
        <w:rPr>
          <w:rFonts w:ascii="Times New Roman" w:cs="Times New Roman" w:eastAsia="Times New Roman" w:hAnsi="Times New Roman"/>
          <w:b/>
          <w:bCs/>
          <w:sz w:val="32"/>
          <w:szCs w:val="32"/>
        </w:rPr>
        <w:t xml:space="preserve">Chapter 6: Testing and Evaluation</w:t>
      </w:r>
    </w:p>
    <w:p>
      <w:r>
        <w:t xml:space="preserve">This chapter describes how the AI service — a Retrieval-Augmented Generation (RAG) backend that turns a creator's YouTube videos into a question-answering chatbot — is tested. The service is a FastAPI application that ingests video transcripts into a Qdrant vector store and answers user questions from retrieved transcript chunks, integrating with a Spring Boot backend over internal HTTP callbacks.</w:t>
      </w:r>
    </w:p>
    <w:p>
      <w:pPr>
        <w:pStyle w:val="Heading2"/>
        <w:spacing w:after="200" w:before="280"/>
        <w:jc w:val="left"/>
      </w:pPr>
      <w:r>
        <w:rPr>
          <w:rFonts w:ascii="Times New Roman" w:cs="Times New Roman" w:eastAsia="Times New Roman" w:hAnsi="Times New Roman"/>
          <w:b/>
          <w:bCs/>
          <w:sz w:val="28"/>
          <w:szCs w:val="28"/>
        </w:rPr>
        <w:t xml:space="preserve">6.1 Testing Strategy</w:t>
      </w:r>
    </w:p>
    <w:p>
      <w:r>
        <w:t xml:space="preserve">Testing focuses on deterministic unit and API behaviour. Every external dependency — the Qdrant vector store, the LLM providers, the embedding model, Redis, RabbitMQ, and the HTTP client to the Spring Boot backend — is mocked in the default suite, so the tests require no network access, no API keys, and no running services. The full suite executes in roughly two seconds and is fully repeatable. Tests that require a real model or live service are marked as integration tests and are deselected by default.</w:t>
      </w:r>
    </w:p>
    <w:p>
      <w:pPr>
        <w:pStyle w:val="Heading3"/>
        <w:spacing w:after="160" w:before="240"/>
        <w:jc w:val="left"/>
      </w:pPr>
      <w:r>
        <w:rPr>
          <w:rFonts w:ascii="Times New Roman" w:cs="Times New Roman" w:eastAsia="Times New Roman" w:hAnsi="Times New Roman"/>
          <w:b/>
          <w:bCs/>
          <w:sz w:val="26"/>
          <w:szCs w:val="26"/>
        </w:rPr>
        <w:t xml:space="preserve">6.1.1 Test Layers</w:t>
      </w:r>
    </w:p>
    <w:p>
      <w:pPr>
        <w:spacing w:after="60" w:before="120" w:line="276" w:lineRule="auto"/>
        <w:jc w:val="left"/>
      </w:pPr>
      <w:r>
        <w:rPr>
          <w:rFonts w:ascii="Times New Roman" w:cs="Times New Roman" w:eastAsia="Times New Roman" w:hAnsi="Times New Roman"/>
          <w:b/>
          <w:bCs/>
          <w:sz w:val="22"/>
          <w:szCs w:val="22"/>
        </w:rPr>
        <w:t xml:space="preserve">Table 6.1  </w:t>
      </w:r>
      <w:r>
        <w:rPr>
          <w:rFonts w:ascii="Times New Roman" w:cs="Times New Roman" w:eastAsia="Times New Roman" w:hAnsi="Times New Roman"/>
          <w:sz w:val="22"/>
          <w:szCs w:val="22"/>
        </w:rPr>
        <w:t xml:space="preserve">Test layers and their scope.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500"/>
        <w:gridCol w:w="6572"/>
      </w:tblGrid>
      <w:tr>
        <w:trPr>
          <w:tblHeader/>
        </w:trPr>
        <w:tc>
          <w:tcPr>
            <w:tcW w:type="dxa" w:w="2500"/>
            <w:tcBorders>
              <w:top w:val="single" w:color="999999" w:sz="4"/>
              <w:left w:val="single" w:color="999999" w:sz="4"/>
              <w:bottom w:val="single" w:color="999999" w:sz="4"/>
              <w:right w:val="single" w:color="999999" w:sz="4"/>
            </w:tcBorders>
            <w:shd w:fill="D9E2F3" w:val="clear"/>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bCs/>
                <w:i w:val="false"/>
                <w:iCs w:val="false"/>
                <w:sz w:val="24"/>
                <w:szCs w:val="24"/>
              </w:rPr>
              <w:t xml:space="preserve">Layer</w:t>
            </w:r>
          </w:p>
        </w:tc>
        <w:tc>
          <w:tcPr>
            <w:tcW w:type="dxa" w:w="6572"/>
            <w:tcBorders>
              <w:top w:val="single" w:color="999999" w:sz="4"/>
              <w:left w:val="single" w:color="999999" w:sz="4"/>
              <w:bottom w:val="single" w:color="999999" w:sz="4"/>
              <w:right w:val="single" w:color="999999" w:sz="4"/>
            </w:tcBorders>
            <w:shd w:fill="D9E2F3" w:val="clear"/>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bCs/>
                <w:i w:val="false"/>
                <w:iCs w:val="false"/>
                <w:sz w:val="24"/>
                <w:szCs w:val="24"/>
              </w:rPr>
              <w:t xml:space="preserve">Scope</w:t>
            </w:r>
          </w:p>
        </w:tc>
      </w:tr>
      <w:tr>
        <w:tc>
          <w:tcPr>
            <w:tcW w:type="dxa" w:w="25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4"/>
                <w:szCs w:val="24"/>
              </w:rPr>
              <w:t xml:space="preserve">Text-processing tests</w:t>
            </w:r>
          </w:p>
        </w:tc>
        <w:tc>
          <w:tcPr>
            <w:tcW w:type="dxa" w:w="6572"/>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4"/>
                <w:szCs w:val="24"/>
              </w:rPr>
              <w:t xml:space="preserve">Language detection (Arabic vs English), Arabic normalization, transcript chunking and timestamp mapping</w:t>
            </w:r>
          </w:p>
        </w:tc>
      </w:tr>
      <w:tr>
        <w:tc>
          <w:tcPr>
            <w:tcW w:type="dxa" w:w="25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4"/>
                <w:szCs w:val="24"/>
              </w:rPr>
              <w:t xml:space="preserve">Retrieval tests</w:t>
            </w:r>
          </w:p>
        </w:tc>
        <w:tc>
          <w:tcPr>
            <w:tcW w:type="dxa" w:w="6572"/>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4"/>
                <w:szCs w:val="24"/>
              </w:rPr>
              <w:t xml:space="preserve">MMR diversity reranking, Qdrant query construction and result mapping, dominant-language ratio</w:t>
            </w:r>
          </w:p>
        </w:tc>
      </w:tr>
      <w:tr>
        <w:tc>
          <w:tcPr>
            <w:tcW w:type="dxa" w:w="25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4"/>
                <w:szCs w:val="24"/>
              </w:rPr>
              <w:t xml:space="preserve">Contract tests</w:t>
            </w:r>
          </w:p>
        </w:tc>
        <w:tc>
          <w:tcPr>
            <w:tcW w:type="dxa" w:w="6572"/>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4"/>
                <w:szCs w:val="24"/>
              </w:rPr>
              <w:t xml:space="preserve">Pydantic request/response schemas, the camelCase Spring Boot boundary, and per-corpus model routing</w:t>
            </w:r>
          </w:p>
        </w:tc>
      </w:tr>
      <w:tr>
        <w:tc>
          <w:tcPr>
            <w:tcW w:type="dxa" w:w="25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4"/>
                <w:szCs w:val="24"/>
              </w:rPr>
              <w:t xml:space="preserve">LLM / adapter tests</w:t>
            </w:r>
          </w:p>
        </w:tc>
        <w:tc>
          <w:tcPr>
            <w:tcW w:type="dxa" w:w="6572"/>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4"/>
                <w:szCs w:val="24"/>
              </w:rPr>
              <w:t xml:space="preserve">Model-spec parsing, the cross-provider fallback chain, the prompt-injection guard, and prompt assembly</w:t>
            </w:r>
          </w:p>
        </w:tc>
      </w:tr>
      <w:tr>
        <w:tc>
          <w:tcPr>
            <w:tcW w:type="dxa" w:w="25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4"/>
                <w:szCs w:val="24"/>
              </w:rPr>
              <w:t xml:space="preserve">Service tests</w:t>
            </w:r>
          </w:p>
        </w:tc>
        <w:tc>
          <w:tcPr>
            <w:tcW w:type="dxa" w:w="6572"/>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4"/>
                <w:szCs w:val="24"/>
              </w:rPr>
              <w:t xml:space="preserve">The RAG chat pipeline, analytics clustering, message classification, ingestion stages, and channel-description regeneration</w:t>
            </w:r>
          </w:p>
        </w:tc>
      </w:tr>
      <w:tr>
        <w:tc>
          <w:tcPr>
            <w:tcW w:type="dxa" w:w="25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4"/>
                <w:szCs w:val="24"/>
              </w:rPr>
              <w:t xml:space="preserve">API tests</w:t>
            </w:r>
          </w:p>
        </w:tc>
        <w:tc>
          <w:tcPr>
            <w:tcW w:type="dxa" w:w="6572"/>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4"/>
                <w:szCs w:val="24"/>
              </w:rPr>
              <w:t xml:space="preserve">FastAPI routes exercised through TestClient with FastAPI dependency overrides</w:t>
            </w:r>
          </w:p>
        </w:tc>
      </w:tr>
      <w:tr>
        <w:tc>
          <w:tcPr>
            <w:tcW w:type="dxa" w:w="25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4"/>
                <w:szCs w:val="24"/>
              </w:rPr>
              <w:t xml:space="preserve">Worker tests</w:t>
            </w:r>
          </w:p>
        </w:tc>
        <w:tc>
          <w:tcPr>
            <w:tcW w:type="dxa" w:w="6572"/>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4"/>
                <w:szCs w:val="24"/>
              </w:rPr>
              <w:t xml:space="preserve">RabbitMQ consumer idempotency and failure routing, plus the dead-letter-queue handler</w:t>
            </w:r>
          </w:p>
        </w:tc>
      </w:tr>
      <w:tr>
        <w:tc>
          <w:tcPr>
            <w:tcW w:type="dxa" w:w="25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4"/>
                <w:szCs w:val="24"/>
              </w:rPr>
              <w:t xml:space="preserve">Integration (optional)</w:t>
            </w:r>
          </w:p>
        </w:tc>
        <w:tc>
          <w:tcPr>
            <w:tcW w:type="dxa" w:w="6572"/>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4"/>
                <w:szCs w:val="24"/>
              </w:rPr>
              <w:t xml:space="preserve">Real embedding-model load; deselected by default and run on demand</w:t>
            </w:r>
          </w:p>
        </w:tc>
      </w:tr>
    </w:tbl>
    <w:p>
      <w:pPr>
        <w:pStyle w:val="Heading3"/>
        <w:spacing w:after="160" w:before="240"/>
        <w:jc w:val="left"/>
      </w:pPr>
      <w:r>
        <w:rPr>
          <w:rFonts w:ascii="Times New Roman" w:cs="Times New Roman" w:eastAsia="Times New Roman" w:hAnsi="Times New Roman"/>
          <w:b/>
          <w:bCs/>
          <w:sz w:val="26"/>
          <w:szCs w:val="26"/>
        </w:rPr>
        <w:t xml:space="preserve">6.1.2 Mocking Strategy</w:t>
      </w:r>
    </w:p>
    <w:p>
      <w:pPr>
        <w:spacing w:after="60" w:before="120" w:line="276" w:lineRule="auto"/>
        <w:jc w:val="left"/>
      </w:pPr>
      <w:r>
        <w:rPr>
          <w:rFonts w:ascii="Times New Roman" w:cs="Times New Roman" w:eastAsia="Times New Roman" w:hAnsi="Times New Roman"/>
          <w:b/>
          <w:bCs/>
          <w:sz w:val="22"/>
          <w:szCs w:val="22"/>
        </w:rPr>
        <w:t xml:space="preserve">Table 6.2  </w:t>
      </w:r>
      <w:r>
        <w:rPr>
          <w:rFonts w:ascii="Times New Roman" w:cs="Times New Roman" w:eastAsia="Times New Roman" w:hAnsi="Times New Roman"/>
          <w:sz w:val="22"/>
          <w:szCs w:val="22"/>
        </w:rPr>
        <w:t xml:space="preserve">Mocking approach for each external dependency.</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200"/>
        <w:gridCol w:w="5872"/>
      </w:tblGrid>
      <w:tr>
        <w:trPr>
          <w:tblHeader/>
        </w:trPr>
        <w:tc>
          <w:tcPr>
            <w:tcW w:type="dxa" w:w="3200"/>
            <w:tcBorders>
              <w:top w:val="single" w:color="999999" w:sz="4"/>
              <w:left w:val="single" w:color="999999" w:sz="4"/>
              <w:bottom w:val="single" w:color="999999" w:sz="4"/>
              <w:right w:val="single" w:color="999999" w:sz="4"/>
            </w:tcBorders>
            <w:shd w:fill="D9E2F3" w:val="clear"/>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bCs/>
                <w:i w:val="false"/>
                <w:iCs w:val="false"/>
                <w:sz w:val="24"/>
                <w:szCs w:val="24"/>
              </w:rPr>
              <w:t xml:space="preserve">Dependency</w:t>
            </w:r>
          </w:p>
        </w:tc>
        <w:tc>
          <w:tcPr>
            <w:tcW w:type="dxa" w:w="5872"/>
            <w:tcBorders>
              <w:top w:val="single" w:color="999999" w:sz="4"/>
              <w:left w:val="single" w:color="999999" w:sz="4"/>
              <w:bottom w:val="single" w:color="999999" w:sz="4"/>
              <w:right w:val="single" w:color="999999" w:sz="4"/>
            </w:tcBorders>
            <w:shd w:fill="D9E2F3" w:val="clear"/>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bCs/>
                <w:i w:val="false"/>
                <w:iCs w:val="false"/>
                <w:sz w:val="24"/>
                <w:szCs w:val="24"/>
              </w:rPr>
              <w:t xml:space="preserve">Test Approach</w:t>
            </w:r>
          </w:p>
        </w:tc>
      </w:tr>
      <w:tr>
        <w:tc>
          <w:tcPr>
            <w:tcW w:type="dxa" w:w="32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4"/>
                <w:szCs w:val="24"/>
              </w:rPr>
              <w:t xml:space="preserve">Qdrant client</w:t>
            </w:r>
          </w:p>
        </w:tc>
        <w:tc>
          <w:tcPr>
            <w:tcW w:type="dxa" w:w="5872"/>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4"/>
                <w:szCs w:val="24"/>
              </w:rPr>
              <w:t xml:space="preserve">Mock client injected into the vector store; canned points, counts, and scroll pages</w:t>
            </w:r>
          </w:p>
        </w:tc>
      </w:tr>
      <w:tr>
        <w:tc>
          <w:tcPr>
            <w:tcW w:type="dxa" w:w="32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4"/>
                <w:szCs w:val="24"/>
              </w:rPr>
              <w:t xml:space="preserve">Sparse BM25 model</w:t>
            </w:r>
          </w:p>
        </w:tc>
        <w:tc>
          <w:tcPr>
            <w:tcW w:type="dxa" w:w="5872"/>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4"/>
                <w:szCs w:val="24"/>
              </w:rPr>
              <w:t xml:space="preserve">Mock model injected into the vector store</w:t>
            </w:r>
          </w:p>
        </w:tc>
      </w:tr>
      <w:tr>
        <w:tc>
          <w:tcPr>
            <w:tcW w:type="dxa" w:w="32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4"/>
                <w:szCs w:val="24"/>
              </w:rPr>
              <w:t xml:space="preserve">LLM providers (OpenAI-compatible)</w:t>
            </w:r>
          </w:p>
        </w:tc>
        <w:tc>
          <w:tcPr>
            <w:tcW w:type="dxa" w:w="5872"/>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4"/>
                <w:szCs w:val="24"/>
              </w:rPr>
              <w:t xml:space="preserve">AsyncMock on the client's generate method, or a patched low-level call</w:t>
            </w:r>
          </w:p>
        </w:tc>
      </w:tr>
      <w:tr>
        <w:tc>
          <w:tcPr>
            <w:tcW w:type="dxa" w:w="32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4"/>
                <w:szCs w:val="24"/>
              </w:rPr>
              <w:t xml:space="preserve">Embedding model</w:t>
            </w:r>
          </w:p>
        </w:tc>
        <w:tc>
          <w:tcPr>
            <w:tcW w:type="dxa" w:w="5872"/>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4"/>
                <w:szCs w:val="24"/>
              </w:rPr>
              <w:t xml:space="preserve">AsyncMock on the embedder's query/document boundary</w:t>
            </w:r>
          </w:p>
        </w:tc>
      </w:tr>
      <w:tr>
        <w:tc>
          <w:tcPr>
            <w:tcW w:type="dxa" w:w="32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4"/>
                <w:szCs w:val="24"/>
              </w:rPr>
              <w:t xml:space="preserve">Redis</w:t>
            </w:r>
          </w:p>
        </w:tc>
        <w:tc>
          <w:tcPr>
            <w:tcW w:type="dxa" w:w="5872"/>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4"/>
                <w:szCs w:val="24"/>
              </w:rPr>
              <w:t xml:space="preserve">Mock with async methods; the client factory is patched</w:t>
            </w:r>
          </w:p>
        </w:tc>
      </w:tr>
      <w:tr>
        <w:tc>
          <w:tcPr>
            <w:tcW w:type="dxa" w:w="32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4"/>
                <w:szCs w:val="24"/>
              </w:rPr>
              <w:t xml:space="preserve">HTTP to Spring Boot</w:t>
            </w:r>
          </w:p>
        </w:tc>
        <w:tc>
          <w:tcPr>
            <w:tcW w:type="dxa" w:w="5872"/>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4"/>
                <w:szCs w:val="24"/>
              </w:rPr>
              <w:t xml:space="preserve">AsyncMock on the httpx client and callback helpers</w:t>
            </w:r>
          </w:p>
        </w:tc>
      </w:tr>
      <w:tr>
        <w:tc>
          <w:tcPr>
            <w:tcW w:type="dxa" w:w="32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4"/>
                <w:szCs w:val="24"/>
              </w:rPr>
              <w:t xml:space="preserve">FastAPI dependencies</w:t>
            </w:r>
          </w:p>
        </w:tc>
        <w:tc>
          <w:tcPr>
            <w:tcW w:type="dxa" w:w="5872"/>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4"/>
                <w:szCs w:val="24"/>
              </w:rPr>
              <w:t xml:space="preserve">Dependency overrides replace the internal-token guard</w:t>
            </w:r>
          </w:p>
        </w:tc>
      </w:tr>
      <w:tr>
        <w:tc>
          <w:tcPr>
            <w:tcW w:type="dxa" w:w="32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4"/>
                <w:szCs w:val="24"/>
              </w:rPr>
              <w:t xml:space="preserve">Background tasks</w:t>
            </w:r>
          </w:p>
        </w:tc>
        <w:tc>
          <w:tcPr>
            <w:tcW w:type="dxa" w:w="5872"/>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4"/>
                <w:szCs w:val="24"/>
              </w:rPr>
              <w:t xml:space="preserve">Executed by the test client; the task entry points are mocked</w:t>
            </w:r>
          </w:p>
        </w:tc>
      </w:tr>
      <w:tr>
        <w:tc>
          <w:tcPr>
            <w:tcW w:type="dxa" w:w="32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4"/>
                <w:szCs w:val="24"/>
              </w:rPr>
              <w:t xml:space="preserve">RabbitMQ message</w:t>
            </w:r>
          </w:p>
        </w:tc>
        <w:tc>
          <w:tcPr>
            <w:tcW w:type="dxa" w:w="5872"/>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4"/>
                <w:szCs w:val="24"/>
              </w:rPr>
              <w:t xml:space="preserve">Fake message with a JSON body and an async-context-manager process() method</w:t>
            </w:r>
          </w:p>
        </w:tc>
      </w:tr>
    </w:tbl>
    <w:p>
      <w:r>
        <w:t xml:space="preserve">In API tests, the application lifespan (embedding-model load and Qdrant/RabbitMQ warmup) is skipped by constructing the test client without its context-manager form, so route tests never trigger heavyweight startup work.</w:t>
      </w:r>
    </w:p>
    <w:p>
      <w:pPr>
        <w:pStyle w:val="Heading2"/>
        <w:spacing w:after="200" w:before="280"/>
        <w:jc w:val="left"/>
      </w:pPr>
      <w:r>
        <w:rPr>
          <w:rFonts w:ascii="Times New Roman" w:cs="Times New Roman" w:eastAsia="Times New Roman" w:hAnsi="Times New Roman"/>
          <w:b/>
          <w:bCs/>
          <w:sz w:val="28"/>
          <w:szCs w:val="28"/>
        </w:rPr>
        <w:t xml:space="preserve">6.2 Test Cases and Results</w:t>
      </w:r>
    </w:p>
    <w:p>
      <w:r>
        <w:t xml:space="preserve">The table below lists representative test cases across the layers described above. Every listed case passes in the current suite.</w:t>
      </w:r>
    </w:p>
    <w:p>
      <w:pPr>
        <w:spacing w:after="60" w:before="120" w:line="276" w:lineRule="auto"/>
        <w:jc w:val="left"/>
      </w:pPr>
      <w:r>
        <w:rPr>
          <w:rFonts w:ascii="Times New Roman" w:cs="Times New Roman" w:eastAsia="Times New Roman" w:hAnsi="Times New Roman"/>
          <w:b/>
          <w:bCs/>
          <w:sz w:val="22"/>
          <w:szCs w:val="22"/>
        </w:rPr>
        <w:t xml:space="preserve">Table 6.3  </w:t>
      </w:r>
      <w:r>
        <w:rPr>
          <w:rFonts w:ascii="Times New Roman" w:cs="Times New Roman" w:eastAsia="Times New Roman" w:hAnsi="Times New Roman"/>
          <w:sz w:val="22"/>
          <w:szCs w:val="22"/>
        </w:rPr>
        <w:t xml:space="preserve">Representative test cases and their results.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150"/>
        <w:gridCol w:w="1200"/>
        <w:gridCol w:w="3572"/>
        <w:gridCol w:w="2150"/>
        <w:gridCol w:w="1000"/>
      </w:tblGrid>
      <w:tr>
        <w:trPr>
          <w:tblHeader/>
        </w:trPr>
        <w:tc>
          <w:tcPr>
            <w:tcW w:type="dxa" w:w="1150"/>
            <w:tcBorders>
              <w:top w:val="single" w:color="999999" w:sz="4"/>
              <w:left w:val="single" w:color="999999" w:sz="4"/>
              <w:bottom w:val="single" w:color="999999" w:sz="4"/>
              <w:right w:val="single" w:color="999999" w:sz="4"/>
            </w:tcBorders>
            <w:shd w:fill="D9E2F3" w:val="clear"/>
            <w:tcMar>
              <w:top w:type="dxa" w:w="40"/>
              <w:left w:type="dxa" w:w="70"/>
              <w:bottom w:type="dxa" w:w="40"/>
              <w:right w:type="dxa" w:w="70"/>
            </w:tcMar>
            <w:vAlign w:val="center"/>
          </w:tcPr>
          <w:p>
            <w:pPr>
              <w:spacing w:after="0" w:line="276" w:lineRule="auto"/>
              <w:jc w:val="center"/>
            </w:pPr>
            <w:r>
              <w:rPr>
                <w:rFonts w:ascii="Times New Roman" w:cs="Times New Roman" w:eastAsia="Times New Roman" w:hAnsi="Times New Roman"/>
                <w:b/>
                <w:bCs/>
                <w:i w:val="false"/>
                <w:iCs w:val="false"/>
                <w:sz w:val="20"/>
                <w:szCs w:val="20"/>
              </w:rPr>
              <w:t xml:space="preserve">Test ID</w:t>
            </w:r>
          </w:p>
        </w:tc>
        <w:tc>
          <w:tcPr>
            <w:tcW w:type="dxa" w:w="1200"/>
            <w:tcBorders>
              <w:top w:val="single" w:color="999999" w:sz="4"/>
              <w:left w:val="single" w:color="999999" w:sz="4"/>
              <w:bottom w:val="single" w:color="999999" w:sz="4"/>
              <w:right w:val="single" w:color="999999" w:sz="4"/>
            </w:tcBorders>
            <w:shd w:fill="D9E2F3" w:val="clear"/>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bCs/>
                <w:i w:val="false"/>
                <w:iCs w:val="false"/>
                <w:sz w:val="20"/>
                <w:szCs w:val="20"/>
              </w:rPr>
              <w:t xml:space="preserve">Area</w:t>
            </w:r>
          </w:p>
        </w:tc>
        <w:tc>
          <w:tcPr>
            <w:tcW w:type="dxa" w:w="3572"/>
            <w:tcBorders>
              <w:top w:val="single" w:color="999999" w:sz="4"/>
              <w:left w:val="single" w:color="999999" w:sz="4"/>
              <w:bottom w:val="single" w:color="999999" w:sz="4"/>
              <w:right w:val="single" w:color="999999" w:sz="4"/>
            </w:tcBorders>
            <w:shd w:fill="D9E2F3" w:val="clear"/>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bCs/>
                <w:i w:val="false"/>
                <w:iCs w:val="false"/>
                <w:sz w:val="20"/>
                <w:szCs w:val="20"/>
              </w:rPr>
              <w:t xml:space="preserve">Scenario</w:t>
            </w:r>
          </w:p>
        </w:tc>
        <w:tc>
          <w:tcPr>
            <w:tcW w:type="dxa" w:w="2150"/>
            <w:tcBorders>
              <w:top w:val="single" w:color="999999" w:sz="4"/>
              <w:left w:val="single" w:color="999999" w:sz="4"/>
              <w:bottom w:val="single" w:color="999999" w:sz="4"/>
              <w:right w:val="single" w:color="999999" w:sz="4"/>
            </w:tcBorders>
            <w:shd w:fill="D9E2F3" w:val="clear"/>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bCs/>
                <w:i w:val="false"/>
                <w:iCs w:val="false"/>
                <w:sz w:val="20"/>
                <w:szCs w:val="20"/>
              </w:rPr>
              <w:t xml:space="preserve">Expected Result</w:t>
            </w:r>
          </w:p>
        </w:tc>
        <w:tc>
          <w:tcPr>
            <w:tcW w:type="dxa" w:w="1000"/>
            <w:tcBorders>
              <w:top w:val="single" w:color="999999" w:sz="4"/>
              <w:left w:val="single" w:color="999999" w:sz="4"/>
              <w:bottom w:val="single" w:color="999999" w:sz="4"/>
              <w:right w:val="single" w:color="999999" w:sz="4"/>
            </w:tcBorders>
            <w:shd w:fill="D9E2F3" w:val="clear"/>
            <w:tcMar>
              <w:top w:type="dxa" w:w="40"/>
              <w:left w:type="dxa" w:w="70"/>
              <w:bottom w:type="dxa" w:w="40"/>
              <w:right w:type="dxa" w:w="70"/>
            </w:tcMar>
            <w:vAlign w:val="center"/>
          </w:tcPr>
          <w:p>
            <w:pPr>
              <w:spacing w:after="0" w:line="276" w:lineRule="auto"/>
              <w:jc w:val="center"/>
            </w:pPr>
            <w:r>
              <w:rPr>
                <w:rFonts w:ascii="Times New Roman" w:cs="Times New Roman" w:eastAsia="Times New Roman" w:hAnsi="Times New Roman"/>
                <w:b/>
                <w:bCs/>
                <w:i w:val="false"/>
                <w:iCs w:val="false"/>
                <w:sz w:val="20"/>
                <w:szCs w:val="20"/>
              </w:rPr>
              <w:t xml:space="preserve">Status</w:t>
            </w:r>
          </w:p>
        </w:tc>
      </w:tr>
      <w:tr>
        <w:tc>
          <w:tcPr>
            <w:tcW w:type="dxa" w:w="11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center"/>
            </w:pPr>
            <w:r>
              <w:rPr>
                <w:rFonts w:ascii="Times New Roman" w:cs="Times New Roman" w:eastAsia="Times New Roman" w:hAnsi="Times New Roman"/>
                <w:b w:val="false"/>
                <w:bCs w:val="false"/>
                <w:i w:val="false"/>
                <w:iCs w:val="false"/>
                <w:sz w:val="20"/>
                <w:szCs w:val="20"/>
              </w:rPr>
              <w:t xml:space="preserve">TC-LANG-01</w:t>
            </w:r>
          </w:p>
        </w:tc>
        <w:tc>
          <w:tcPr>
            <w:tcW w:type="dxa" w:w="12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Language</w:t>
            </w:r>
          </w:p>
        </w:tc>
        <w:tc>
          <w:tcPr>
            <w:tcW w:type="dxa" w:w="3572"/>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Arabic-dominant text is detected by letter ratio</w:t>
            </w:r>
          </w:p>
        </w:tc>
        <w:tc>
          <w:tcPr>
            <w:tcW w:type="dxa" w:w="21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Returns "ar"</w:t>
            </w:r>
          </w:p>
        </w:tc>
        <w:tc>
          <w:tcPr>
            <w:tcW w:type="dxa" w:w="10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center"/>
            </w:pPr>
            <w:r>
              <w:rPr>
                <w:rFonts w:ascii="Times New Roman" w:cs="Times New Roman" w:eastAsia="Times New Roman" w:hAnsi="Times New Roman"/>
                <w:b w:val="false"/>
                <w:bCs w:val="false"/>
                <w:i w:val="false"/>
                <w:iCs w:val="false"/>
                <w:sz w:val="20"/>
                <w:szCs w:val="20"/>
              </w:rPr>
              <w:t xml:space="preserve">Pass</w:t>
            </w:r>
          </w:p>
        </w:tc>
      </w:tr>
      <w:tr>
        <w:tc>
          <w:tcPr>
            <w:tcW w:type="dxa" w:w="11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center"/>
            </w:pPr>
            <w:r>
              <w:rPr>
                <w:rFonts w:ascii="Times New Roman" w:cs="Times New Roman" w:eastAsia="Times New Roman" w:hAnsi="Times New Roman"/>
                <w:b w:val="false"/>
                <w:bCs w:val="false"/>
                <w:i w:val="false"/>
                <w:iCs w:val="false"/>
                <w:sz w:val="20"/>
                <w:szCs w:val="20"/>
              </w:rPr>
              <w:t xml:space="preserve">TC-LANG-02</w:t>
            </w:r>
          </w:p>
        </w:tc>
        <w:tc>
          <w:tcPr>
            <w:tcW w:type="dxa" w:w="12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Language</w:t>
            </w:r>
          </w:p>
        </w:tc>
        <w:tc>
          <w:tcPr>
            <w:tcW w:type="dxa" w:w="3572"/>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English text is detected</w:t>
            </w:r>
          </w:p>
        </w:tc>
        <w:tc>
          <w:tcPr>
            <w:tcW w:type="dxa" w:w="21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Returns "en"</w:t>
            </w:r>
          </w:p>
        </w:tc>
        <w:tc>
          <w:tcPr>
            <w:tcW w:type="dxa" w:w="10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center"/>
            </w:pPr>
            <w:r>
              <w:rPr>
                <w:rFonts w:ascii="Times New Roman" w:cs="Times New Roman" w:eastAsia="Times New Roman" w:hAnsi="Times New Roman"/>
                <w:b w:val="false"/>
                <w:bCs w:val="false"/>
                <w:i w:val="false"/>
                <w:iCs w:val="false"/>
                <w:sz w:val="20"/>
                <w:szCs w:val="20"/>
              </w:rPr>
              <w:t xml:space="preserve">Pass</w:t>
            </w:r>
          </w:p>
        </w:tc>
      </w:tr>
      <w:tr>
        <w:tc>
          <w:tcPr>
            <w:tcW w:type="dxa" w:w="11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center"/>
            </w:pPr>
            <w:r>
              <w:rPr>
                <w:rFonts w:ascii="Times New Roman" w:cs="Times New Roman" w:eastAsia="Times New Roman" w:hAnsi="Times New Roman"/>
                <w:b w:val="false"/>
                <w:bCs w:val="false"/>
                <w:i w:val="false"/>
                <w:iCs w:val="false"/>
                <w:sz w:val="20"/>
                <w:szCs w:val="20"/>
              </w:rPr>
              <w:t xml:space="preserve">TC-LANG-03</w:t>
            </w:r>
          </w:p>
        </w:tc>
        <w:tc>
          <w:tcPr>
            <w:tcW w:type="dxa" w:w="12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Language</w:t>
            </w:r>
          </w:p>
        </w:tc>
        <w:tc>
          <w:tcPr>
            <w:tcW w:type="dxa" w:w="3572"/>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A letterless query falls back to the history language</w:t>
            </w:r>
          </w:p>
        </w:tc>
        <w:tc>
          <w:tcPr>
            <w:tcW w:type="dxa" w:w="21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Returns "ar" from history</w:t>
            </w:r>
          </w:p>
        </w:tc>
        <w:tc>
          <w:tcPr>
            <w:tcW w:type="dxa" w:w="10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center"/>
            </w:pPr>
            <w:r>
              <w:rPr>
                <w:rFonts w:ascii="Times New Roman" w:cs="Times New Roman" w:eastAsia="Times New Roman" w:hAnsi="Times New Roman"/>
                <w:b w:val="false"/>
                <w:bCs w:val="false"/>
                <w:i w:val="false"/>
                <w:iCs w:val="false"/>
                <w:sz w:val="20"/>
                <w:szCs w:val="20"/>
              </w:rPr>
              <w:t xml:space="preserve">Pass</w:t>
            </w:r>
          </w:p>
        </w:tc>
      </w:tr>
      <w:tr>
        <w:tc>
          <w:tcPr>
            <w:tcW w:type="dxa" w:w="11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center"/>
            </w:pPr>
            <w:r>
              <w:rPr>
                <w:rFonts w:ascii="Times New Roman" w:cs="Times New Roman" w:eastAsia="Times New Roman" w:hAnsi="Times New Roman"/>
                <w:b w:val="false"/>
                <w:bCs w:val="false"/>
                <w:i w:val="false"/>
                <w:iCs w:val="false"/>
                <w:sz w:val="20"/>
                <w:szCs w:val="20"/>
              </w:rPr>
              <w:t xml:space="preserve">TC-NORM-01</w:t>
            </w:r>
          </w:p>
        </w:tc>
        <w:tc>
          <w:tcPr>
            <w:tcW w:type="dxa" w:w="12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Normalize</w:t>
            </w:r>
          </w:p>
        </w:tc>
        <w:tc>
          <w:tcPr>
            <w:tcW w:type="dxa" w:w="3572"/>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Alef, ya, hamza and ta-marbuta variants are folded</w:t>
            </w:r>
          </w:p>
        </w:tc>
        <w:tc>
          <w:tcPr>
            <w:tcW w:type="dxa" w:w="21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Canonical letters</w:t>
            </w:r>
          </w:p>
        </w:tc>
        <w:tc>
          <w:tcPr>
            <w:tcW w:type="dxa" w:w="10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center"/>
            </w:pPr>
            <w:r>
              <w:rPr>
                <w:rFonts w:ascii="Times New Roman" w:cs="Times New Roman" w:eastAsia="Times New Roman" w:hAnsi="Times New Roman"/>
                <w:b w:val="false"/>
                <w:bCs w:val="false"/>
                <w:i w:val="false"/>
                <w:iCs w:val="false"/>
                <w:sz w:val="20"/>
                <w:szCs w:val="20"/>
              </w:rPr>
              <w:t xml:space="preserve">Pass</w:t>
            </w:r>
          </w:p>
        </w:tc>
      </w:tr>
      <w:tr>
        <w:tc>
          <w:tcPr>
            <w:tcW w:type="dxa" w:w="11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center"/>
            </w:pPr>
            <w:r>
              <w:rPr>
                <w:rFonts w:ascii="Times New Roman" w:cs="Times New Roman" w:eastAsia="Times New Roman" w:hAnsi="Times New Roman"/>
                <w:b w:val="false"/>
                <w:bCs w:val="false"/>
                <w:i w:val="false"/>
                <w:iCs w:val="false"/>
                <w:sz w:val="20"/>
                <w:szCs w:val="20"/>
              </w:rPr>
              <w:t xml:space="preserve">TC-NORM-02</w:t>
            </w:r>
          </w:p>
        </w:tc>
        <w:tc>
          <w:tcPr>
            <w:tcW w:type="dxa" w:w="12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Normalize</w:t>
            </w:r>
          </w:p>
        </w:tc>
        <w:tc>
          <w:tcPr>
            <w:tcW w:type="dxa" w:w="3572"/>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Diacritics and tatweel are stripped</w:t>
            </w:r>
          </w:p>
        </w:tc>
        <w:tc>
          <w:tcPr>
            <w:tcW w:type="dxa" w:w="21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Bare normalized text</w:t>
            </w:r>
          </w:p>
        </w:tc>
        <w:tc>
          <w:tcPr>
            <w:tcW w:type="dxa" w:w="10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center"/>
            </w:pPr>
            <w:r>
              <w:rPr>
                <w:rFonts w:ascii="Times New Roman" w:cs="Times New Roman" w:eastAsia="Times New Roman" w:hAnsi="Times New Roman"/>
                <w:b w:val="false"/>
                <w:bCs w:val="false"/>
                <w:i w:val="false"/>
                <w:iCs w:val="false"/>
                <w:sz w:val="20"/>
                <w:szCs w:val="20"/>
              </w:rPr>
              <w:t xml:space="preserve">Pass</w:t>
            </w:r>
          </w:p>
        </w:tc>
      </w:tr>
      <w:tr>
        <w:tc>
          <w:tcPr>
            <w:tcW w:type="dxa" w:w="11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center"/>
            </w:pPr>
            <w:r>
              <w:rPr>
                <w:rFonts w:ascii="Times New Roman" w:cs="Times New Roman" w:eastAsia="Times New Roman" w:hAnsi="Times New Roman"/>
                <w:b w:val="false"/>
                <w:bCs w:val="false"/>
                <w:i w:val="false"/>
                <w:iCs w:val="false"/>
                <w:sz w:val="20"/>
                <w:szCs w:val="20"/>
              </w:rPr>
              <w:t xml:space="preserve">TC-CHUNK-01</w:t>
            </w:r>
          </w:p>
        </w:tc>
        <w:tc>
          <w:tcPr>
            <w:tcW w:type="dxa" w:w="12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Chunking</w:t>
            </w:r>
          </w:p>
        </w:tc>
        <w:tc>
          <w:tcPr>
            <w:tcW w:type="dxa" w:w="3572"/>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English transcript is chunked with a first timestamp</w:t>
            </w:r>
          </w:p>
        </w:tc>
        <w:tc>
          <w:tcPr>
            <w:tcW w:type="dxa" w:w="21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Chunks with integer timestamp</w:t>
            </w:r>
          </w:p>
        </w:tc>
        <w:tc>
          <w:tcPr>
            <w:tcW w:type="dxa" w:w="10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center"/>
            </w:pPr>
            <w:r>
              <w:rPr>
                <w:rFonts w:ascii="Times New Roman" w:cs="Times New Roman" w:eastAsia="Times New Roman" w:hAnsi="Times New Roman"/>
                <w:b w:val="false"/>
                <w:bCs w:val="false"/>
                <w:i w:val="false"/>
                <w:iCs w:val="false"/>
                <w:sz w:val="20"/>
                <w:szCs w:val="20"/>
              </w:rPr>
              <w:t xml:space="preserve">Pass</w:t>
            </w:r>
          </w:p>
        </w:tc>
      </w:tr>
      <w:tr>
        <w:tc>
          <w:tcPr>
            <w:tcW w:type="dxa" w:w="11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center"/>
            </w:pPr>
            <w:r>
              <w:rPr>
                <w:rFonts w:ascii="Times New Roman" w:cs="Times New Roman" w:eastAsia="Times New Roman" w:hAnsi="Times New Roman"/>
                <w:b w:val="false"/>
                <w:bCs w:val="false"/>
                <w:i w:val="false"/>
                <w:iCs w:val="false"/>
                <w:sz w:val="20"/>
                <w:szCs w:val="20"/>
              </w:rPr>
              <w:t xml:space="preserve">TC-CHUNK-02</w:t>
            </w:r>
          </w:p>
        </w:tc>
        <w:tc>
          <w:tcPr>
            <w:tcW w:type="dxa" w:w="12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Chunking</w:t>
            </w:r>
          </w:p>
        </w:tc>
        <w:tc>
          <w:tcPr>
            <w:tcW w:type="dxa" w:w="3572"/>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A whitespace-only transcript is rejected</w:t>
            </w:r>
          </w:p>
        </w:tc>
        <w:tc>
          <w:tcPr>
            <w:tcW w:type="dxa" w:w="21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TranscriptError raised</w:t>
            </w:r>
          </w:p>
        </w:tc>
        <w:tc>
          <w:tcPr>
            <w:tcW w:type="dxa" w:w="10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center"/>
            </w:pPr>
            <w:r>
              <w:rPr>
                <w:rFonts w:ascii="Times New Roman" w:cs="Times New Roman" w:eastAsia="Times New Roman" w:hAnsi="Times New Roman"/>
                <w:b w:val="false"/>
                <w:bCs w:val="false"/>
                <w:i w:val="false"/>
                <w:iCs w:val="false"/>
                <w:sz w:val="20"/>
                <w:szCs w:val="20"/>
              </w:rPr>
              <w:t xml:space="preserve">Pass</w:t>
            </w:r>
          </w:p>
        </w:tc>
      </w:tr>
      <w:tr>
        <w:tc>
          <w:tcPr>
            <w:tcW w:type="dxa" w:w="11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center"/>
            </w:pPr>
            <w:r>
              <w:rPr>
                <w:rFonts w:ascii="Times New Roman" w:cs="Times New Roman" w:eastAsia="Times New Roman" w:hAnsi="Times New Roman"/>
                <w:b w:val="false"/>
                <w:bCs w:val="false"/>
                <w:i w:val="false"/>
                <w:iCs w:val="false"/>
                <w:sz w:val="20"/>
                <w:szCs w:val="20"/>
              </w:rPr>
              <w:t xml:space="preserve">TC-CHUNK-03</w:t>
            </w:r>
          </w:p>
        </w:tc>
        <w:tc>
          <w:tcPr>
            <w:tcW w:type="dxa" w:w="12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Chunking</w:t>
            </w:r>
          </w:p>
        </w:tc>
        <w:tc>
          <w:tcPr>
            <w:tcW w:type="dxa" w:w="3572"/>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Arabic normalization is applied during chunking</w:t>
            </w:r>
          </w:p>
        </w:tc>
        <w:tc>
          <w:tcPr>
            <w:tcW w:type="dxa" w:w="21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Alef-hamza removed</w:t>
            </w:r>
          </w:p>
        </w:tc>
        <w:tc>
          <w:tcPr>
            <w:tcW w:type="dxa" w:w="10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center"/>
            </w:pPr>
            <w:r>
              <w:rPr>
                <w:rFonts w:ascii="Times New Roman" w:cs="Times New Roman" w:eastAsia="Times New Roman" w:hAnsi="Times New Roman"/>
                <w:b w:val="false"/>
                <w:bCs w:val="false"/>
                <w:i w:val="false"/>
                <w:iCs w:val="false"/>
                <w:sz w:val="20"/>
                <w:szCs w:val="20"/>
              </w:rPr>
              <w:t xml:space="preserve">Pass</w:t>
            </w:r>
          </w:p>
        </w:tc>
      </w:tr>
      <w:tr>
        <w:tc>
          <w:tcPr>
            <w:tcW w:type="dxa" w:w="11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center"/>
            </w:pPr>
            <w:r>
              <w:rPr>
                <w:rFonts w:ascii="Times New Roman" w:cs="Times New Roman" w:eastAsia="Times New Roman" w:hAnsi="Times New Roman"/>
                <w:b w:val="false"/>
                <w:bCs w:val="false"/>
                <w:i w:val="false"/>
                <w:iCs w:val="false"/>
                <w:sz w:val="20"/>
                <w:szCs w:val="20"/>
              </w:rPr>
              <w:t xml:space="preserve">TC-MMR-01</w:t>
            </w:r>
          </w:p>
        </w:tc>
        <w:tc>
          <w:tcPr>
            <w:tcW w:type="dxa" w:w="12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Retrieval</w:t>
            </w:r>
          </w:p>
        </w:tc>
        <w:tc>
          <w:tcPr>
            <w:tcW w:type="dxa" w:w="3572"/>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High lambda favours relevance over diversity</w:t>
            </w:r>
          </w:p>
        </w:tc>
        <w:tc>
          <w:tcPr>
            <w:tcW w:type="dxa" w:w="21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Relevant duplicate kept</w:t>
            </w:r>
          </w:p>
        </w:tc>
        <w:tc>
          <w:tcPr>
            <w:tcW w:type="dxa" w:w="10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center"/>
            </w:pPr>
            <w:r>
              <w:rPr>
                <w:rFonts w:ascii="Times New Roman" w:cs="Times New Roman" w:eastAsia="Times New Roman" w:hAnsi="Times New Roman"/>
                <w:b w:val="false"/>
                <w:bCs w:val="false"/>
                <w:i w:val="false"/>
                <w:iCs w:val="false"/>
                <w:sz w:val="20"/>
                <w:szCs w:val="20"/>
              </w:rPr>
              <w:t xml:space="preserve">Pass</w:t>
            </w:r>
          </w:p>
        </w:tc>
      </w:tr>
      <w:tr>
        <w:tc>
          <w:tcPr>
            <w:tcW w:type="dxa" w:w="11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center"/>
            </w:pPr>
            <w:r>
              <w:rPr>
                <w:rFonts w:ascii="Times New Roman" w:cs="Times New Roman" w:eastAsia="Times New Roman" w:hAnsi="Times New Roman"/>
                <w:b w:val="false"/>
                <w:bCs w:val="false"/>
                <w:i w:val="false"/>
                <w:iCs w:val="false"/>
                <w:sz w:val="20"/>
                <w:szCs w:val="20"/>
              </w:rPr>
              <w:t xml:space="preserve">TC-MMR-02</w:t>
            </w:r>
          </w:p>
        </w:tc>
        <w:tc>
          <w:tcPr>
            <w:tcW w:type="dxa" w:w="12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Retrieval</w:t>
            </w:r>
          </w:p>
        </w:tc>
        <w:tc>
          <w:tcPr>
            <w:tcW w:type="dxa" w:w="3572"/>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Low lambda favours diversity</w:t>
            </w:r>
          </w:p>
        </w:tc>
        <w:tc>
          <w:tcPr>
            <w:tcW w:type="dxa" w:w="21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Diverse item selected</w:t>
            </w:r>
          </w:p>
        </w:tc>
        <w:tc>
          <w:tcPr>
            <w:tcW w:type="dxa" w:w="10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center"/>
            </w:pPr>
            <w:r>
              <w:rPr>
                <w:rFonts w:ascii="Times New Roman" w:cs="Times New Roman" w:eastAsia="Times New Roman" w:hAnsi="Times New Roman"/>
                <w:b w:val="false"/>
                <w:bCs w:val="false"/>
                <w:i w:val="false"/>
                <w:iCs w:val="false"/>
                <w:sz w:val="20"/>
                <w:szCs w:val="20"/>
              </w:rPr>
              <w:t xml:space="preserve">Pass</w:t>
            </w:r>
          </w:p>
        </w:tc>
      </w:tr>
      <w:tr>
        <w:tc>
          <w:tcPr>
            <w:tcW w:type="dxa" w:w="11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center"/>
            </w:pPr>
            <w:r>
              <w:rPr>
                <w:rFonts w:ascii="Times New Roman" w:cs="Times New Roman" w:eastAsia="Times New Roman" w:hAnsi="Times New Roman"/>
                <w:b w:val="false"/>
                <w:bCs w:val="false"/>
                <w:i w:val="false"/>
                <w:iCs w:val="false"/>
                <w:sz w:val="20"/>
                <w:szCs w:val="20"/>
              </w:rPr>
              <w:t xml:space="preserve">TC-RET-01</w:t>
            </w:r>
          </w:p>
        </w:tc>
        <w:tc>
          <w:tcPr>
            <w:tcW w:type="dxa" w:w="12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Retrieval</w:t>
            </w:r>
          </w:p>
        </w:tc>
        <w:tc>
          <w:tcPr>
            <w:tcW w:type="dxa" w:w="3572"/>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Search maps Qdrant points to result dictionaries</w:t>
            </w:r>
          </w:p>
        </w:tc>
        <w:tc>
          <w:tcPr>
            <w:tcW w:type="dxa" w:w="21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Mapped chunks with scores</w:t>
            </w:r>
          </w:p>
        </w:tc>
        <w:tc>
          <w:tcPr>
            <w:tcW w:type="dxa" w:w="10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center"/>
            </w:pPr>
            <w:r>
              <w:rPr>
                <w:rFonts w:ascii="Times New Roman" w:cs="Times New Roman" w:eastAsia="Times New Roman" w:hAnsi="Times New Roman"/>
                <w:b w:val="false"/>
                <w:bCs w:val="false"/>
                <w:i w:val="false"/>
                <w:iCs w:val="false"/>
                <w:sz w:val="20"/>
                <w:szCs w:val="20"/>
              </w:rPr>
              <w:t xml:space="preserve">Pass</w:t>
            </w:r>
          </w:p>
        </w:tc>
      </w:tr>
      <w:tr>
        <w:tc>
          <w:tcPr>
            <w:tcW w:type="dxa" w:w="11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center"/>
            </w:pPr>
            <w:r>
              <w:rPr>
                <w:rFonts w:ascii="Times New Roman" w:cs="Times New Roman" w:eastAsia="Times New Roman" w:hAnsi="Times New Roman"/>
                <w:b w:val="false"/>
                <w:bCs w:val="false"/>
                <w:i w:val="false"/>
                <w:iCs w:val="false"/>
                <w:sz w:val="20"/>
                <w:szCs w:val="20"/>
              </w:rPr>
              <w:t xml:space="preserve">TC-RET-02</w:t>
            </w:r>
          </w:p>
        </w:tc>
        <w:tc>
          <w:tcPr>
            <w:tcW w:type="dxa" w:w="12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Retrieval</w:t>
            </w:r>
          </w:p>
        </w:tc>
        <w:tc>
          <w:tcPr>
            <w:tcW w:type="dxa" w:w="3572"/>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Delete counts then removes matching chunks</w:t>
            </w:r>
          </w:p>
        </w:tc>
        <w:tc>
          <w:tcPr>
            <w:tcW w:type="dxa" w:w="21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Deleted count returned</w:t>
            </w:r>
          </w:p>
        </w:tc>
        <w:tc>
          <w:tcPr>
            <w:tcW w:type="dxa" w:w="10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center"/>
            </w:pPr>
            <w:r>
              <w:rPr>
                <w:rFonts w:ascii="Times New Roman" w:cs="Times New Roman" w:eastAsia="Times New Roman" w:hAnsi="Times New Roman"/>
                <w:b w:val="false"/>
                <w:bCs w:val="false"/>
                <w:i w:val="false"/>
                <w:iCs w:val="false"/>
                <w:sz w:val="20"/>
                <w:szCs w:val="20"/>
              </w:rPr>
              <w:t xml:space="preserve">Pass</w:t>
            </w:r>
          </w:p>
        </w:tc>
      </w:tr>
      <w:tr>
        <w:tc>
          <w:tcPr>
            <w:tcW w:type="dxa" w:w="11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center"/>
            </w:pPr>
            <w:r>
              <w:rPr>
                <w:rFonts w:ascii="Times New Roman" w:cs="Times New Roman" w:eastAsia="Times New Roman" w:hAnsi="Times New Roman"/>
                <w:b w:val="false"/>
                <w:bCs w:val="false"/>
                <w:i w:val="false"/>
                <w:iCs w:val="false"/>
                <w:sz w:val="20"/>
                <w:szCs w:val="20"/>
              </w:rPr>
              <w:t xml:space="preserve">TC-RET-03</w:t>
            </w:r>
          </w:p>
        </w:tc>
        <w:tc>
          <w:tcPr>
            <w:tcW w:type="dxa" w:w="12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Retrieval</w:t>
            </w:r>
          </w:p>
        </w:tc>
        <w:tc>
          <w:tcPr>
            <w:tcW w:type="dxa" w:w="3572"/>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Dominant language decided by Arabic ratio</w:t>
            </w:r>
          </w:p>
        </w:tc>
        <w:tc>
          <w:tcPr>
            <w:tcW w:type="dxa" w:w="21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"ar"/"en" per threshold</w:t>
            </w:r>
          </w:p>
        </w:tc>
        <w:tc>
          <w:tcPr>
            <w:tcW w:type="dxa" w:w="10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center"/>
            </w:pPr>
            <w:r>
              <w:rPr>
                <w:rFonts w:ascii="Times New Roman" w:cs="Times New Roman" w:eastAsia="Times New Roman" w:hAnsi="Times New Roman"/>
                <w:b w:val="false"/>
                <w:bCs w:val="false"/>
                <w:i w:val="false"/>
                <w:iCs w:val="false"/>
                <w:sz w:val="20"/>
                <w:szCs w:val="20"/>
              </w:rPr>
              <w:t xml:space="preserve">Pass</w:t>
            </w:r>
          </w:p>
        </w:tc>
      </w:tr>
      <w:tr>
        <w:tc>
          <w:tcPr>
            <w:tcW w:type="dxa" w:w="11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center"/>
            </w:pPr>
            <w:r>
              <w:rPr>
                <w:rFonts w:ascii="Times New Roman" w:cs="Times New Roman" w:eastAsia="Times New Roman" w:hAnsi="Times New Roman"/>
                <w:b w:val="false"/>
                <w:bCs w:val="false"/>
                <w:i w:val="false"/>
                <w:iCs w:val="false"/>
                <w:sz w:val="20"/>
                <w:szCs w:val="20"/>
              </w:rPr>
              <w:t xml:space="preserve">TC-CFG-01</w:t>
            </w:r>
          </w:p>
        </w:tc>
        <w:tc>
          <w:tcPr>
            <w:tcW w:type="dxa" w:w="12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Contract</w:t>
            </w:r>
          </w:p>
        </w:tc>
        <w:tc>
          <w:tcPr>
            <w:tcW w:type="dxa" w:w="3572"/>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Model routing picks the Arabic override for an Arabic corpus</w:t>
            </w:r>
          </w:p>
        </w:tc>
        <w:tc>
          <w:tcPr>
            <w:tcW w:type="dxa" w:w="21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Override spec chosen</w:t>
            </w:r>
          </w:p>
        </w:tc>
        <w:tc>
          <w:tcPr>
            <w:tcW w:type="dxa" w:w="10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center"/>
            </w:pPr>
            <w:r>
              <w:rPr>
                <w:rFonts w:ascii="Times New Roman" w:cs="Times New Roman" w:eastAsia="Times New Roman" w:hAnsi="Times New Roman"/>
                <w:b w:val="false"/>
                <w:bCs w:val="false"/>
                <w:i w:val="false"/>
                <w:iCs w:val="false"/>
                <w:sz w:val="20"/>
                <w:szCs w:val="20"/>
              </w:rPr>
              <w:t xml:space="preserve">Pass</w:t>
            </w:r>
          </w:p>
        </w:tc>
      </w:tr>
      <w:tr>
        <w:tc>
          <w:tcPr>
            <w:tcW w:type="dxa" w:w="11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center"/>
            </w:pPr>
            <w:r>
              <w:rPr>
                <w:rFonts w:ascii="Times New Roman" w:cs="Times New Roman" w:eastAsia="Times New Roman" w:hAnsi="Times New Roman"/>
                <w:b w:val="false"/>
                <w:bCs w:val="false"/>
                <w:i w:val="false"/>
                <w:iCs w:val="false"/>
                <w:sz w:val="20"/>
                <w:szCs w:val="20"/>
              </w:rPr>
              <w:t xml:space="preserve">TC-SCHEMA-01</w:t>
            </w:r>
          </w:p>
        </w:tc>
        <w:tc>
          <w:tcPr>
            <w:tcW w:type="dxa" w:w="12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Contract</w:t>
            </w:r>
          </w:p>
        </w:tc>
        <w:tc>
          <w:tcPr>
            <w:tcW w:type="dxa" w:w="3572"/>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Blank, empty, or over-long query is rejected</w:t>
            </w:r>
          </w:p>
        </w:tc>
        <w:tc>
          <w:tcPr>
            <w:tcW w:type="dxa" w:w="21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422 ValidationError</w:t>
            </w:r>
          </w:p>
        </w:tc>
        <w:tc>
          <w:tcPr>
            <w:tcW w:type="dxa" w:w="10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center"/>
            </w:pPr>
            <w:r>
              <w:rPr>
                <w:rFonts w:ascii="Times New Roman" w:cs="Times New Roman" w:eastAsia="Times New Roman" w:hAnsi="Times New Roman"/>
                <w:b w:val="false"/>
                <w:bCs w:val="false"/>
                <w:i w:val="false"/>
                <w:iCs w:val="false"/>
                <w:sz w:val="20"/>
                <w:szCs w:val="20"/>
              </w:rPr>
              <w:t xml:space="preserve">Pass</w:t>
            </w:r>
          </w:p>
        </w:tc>
      </w:tr>
      <w:tr>
        <w:tc>
          <w:tcPr>
            <w:tcW w:type="dxa" w:w="11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center"/>
            </w:pPr>
            <w:r>
              <w:rPr>
                <w:rFonts w:ascii="Times New Roman" w:cs="Times New Roman" w:eastAsia="Times New Roman" w:hAnsi="Times New Roman"/>
                <w:b w:val="false"/>
                <w:bCs w:val="false"/>
                <w:i w:val="false"/>
                <w:iCs w:val="false"/>
                <w:sz w:val="20"/>
                <w:szCs w:val="20"/>
              </w:rPr>
              <w:t xml:space="preserve">TC-SCHEMA-02</w:t>
            </w:r>
          </w:p>
        </w:tc>
        <w:tc>
          <w:tcPr>
            <w:tcW w:type="dxa" w:w="12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Contract</w:t>
            </w:r>
          </w:p>
        </w:tc>
        <w:tc>
          <w:tcPr>
            <w:tcW w:type="dxa" w:w="3572"/>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Analytics camelCase aliases round-trip</w:t>
            </w:r>
          </w:p>
        </w:tc>
        <w:tc>
          <w:tcPr>
            <w:tcW w:type="dxa" w:w="21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Parsed and camelCase output</w:t>
            </w:r>
          </w:p>
        </w:tc>
        <w:tc>
          <w:tcPr>
            <w:tcW w:type="dxa" w:w="10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center"/>
            </w:pPr>
            <w:r>
              <w:rPr>
                <w:rFonts w:ascii="Times New Roman" w:cs="Times New Roman" w:eastAsia="Times New Roman" w:hAnsi="Times New Roman"/>
                <w:b w:val="false"/>
                <w:bCs w:val="false"/>
                <w:i w:val="false"/>
                <w:iCs w:val="false"/>
                <w:sz w:val="20"/>
                <w:szCs w:val="20"/>
              </w:rPr>
              <w:t xml:space="preserve">Pass</w:t>
            </w:r>
          </w:p>
        </w:tc>
      </w:tr>
      <w:tr>
        <w:tc>
          <w:tcPr>
            <w:tcW w:type="dxa" w:w="11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center"/>
            </w:pPr>
            <w:r>
              <w:rPr>
                <w:rFonts w:ascii="Times New Roman" w:cs="Times New Roman" w:eastAsia="Times New Roman" w:hAnsi="Times New Roman"/>
                <w:b w:val="false"/>
                <w:bCs w:val="false"/>
                <w:i w:val="false"/>
                <w:iCs w:val="false"/>
                <w:sz w:val="20"/>
                <w:szCs w:val="20"/>
              </w:rPr>
              <w:t xml:space="preserve">TC-LLM-01</w:t>
            </w:r>
          </w:p>
        </w:tc>
        <w:tc>
          <w:tcPr>
            <w:tcW w:type="dxa" w:w="12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Adapter</w:t>
            </w:r>
          </w:p>
        </w:tc>
        <w:tc>
          <w:tcPr>
            <w:tcW w:type="dxa" w:w="3572"/>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Model spec is parsed (including NVIDIA double-prefix)</w:t>
            </w:r>
          </w:p>
        </w:tc>
        <w:tc>
          <w:tcPr>
            <w:tcW w:type="dxa" w:w="21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(provider, model) tuple</w:t>
            </w:r>
          </w:p>
        </w:tc>
        <w:tc>
          <w:tcPr>
            <w:tcW w:type="dxa" w:w="10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center"/>
            </w:pPr>
            <w:r>
              <w:rPr>
                <w:rFonts w:ascii="Times New Roman" w:cs="Times New Roman" w:eastAsia="Times New Roman" w:hAnsi="Times New Roman"/>
                <w:b w:val="false"/>
                <w:bCs w:val="false"/>
                <w:i w:val="false"/>
                <w:iCs w:val="false"/>
                <w:sz w:val="20"/>
                <w:szCs w:val="20"/>
              </w:rPr>
              <w:t xml:space="preserve">Pass</w:t>
            </w:r>
          </w:p>
        </w:tc>
      </w:tr>
      <w:tr>
        <w:tc>
          <w:tcPr>
            <w:tcW w:type="dxa" w:w="11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center"/>
            </w:pPr>
            <w:r>
              <w:rPr>
                <w:rFonts w:ascii="Times New Roman" w:cs="Times New Roman" w:eastAsia="Times New Roman" w:hAnsi="Times New Roman"/>
                <w:b w:val="false"/>
                <w:bCs w:val="false"/>
                <w:i w:val="false"/>
                <w:iCs w:val="false"/>
                <w:sz w:val="20"/>
                <w:szCs w:val="20"/>
              </w:rPr>
              <w:t xml:space="preserve">TC-LLM-02</w:t>
            </w:r>
          </w:p>
        </w:tc>
        <w:tc>
          <w:tcPr>
            <w:tcW w:type="dxa" w:w="12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Adapter</w:t>
            </w:r>
          </w:p>
        </w:tc>
        <w:tc>
          <w:tcPr>
            <w:tcW w:type="dxa" w:w="3572"/>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Primary model failure falls back to the next provider</w:t>
            </w:r>
          </w:p>
        </w:tc>
        <w:tc>
          <w:tcPr>
            <w:tcW w:type="dxa" w:w="21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Backup model answers</w:t>
            </w:r>
          </w:p>
        </w:tc>
        <w:tc>
          <w:tcPr>
            <w:tcW w:type="dxa" w:w="10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center"/>
            </w:pPr>
            <w:r>
              <w:rPr>
                <w:rFonts w:ascii="Times New Roman" w:cs="Times New Roman" w:eastAsia="Times New Roman" w:hAnsi="Times New Roman"/>
                <w:b w:val="false"/>
                <w:bCs w:val="false"/>
                <w:i w:val="false"/>
                <w:iCs w:val="false"/>
                <w:sz w:val="20"/>
                <w:szCs w:val="20"/>
              </w:rPr>
              <w:t xml:space="preserve">Pass</w:t>
            </w:r>
          </w:p>
        </w:tc>
      </w:tr>
      <w:tr>
        <w:tc>
          <w:tcPr>
            <w:tcW w:type="dxa" w:w="11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center"/>
            </w:pPr>
            <w:r>
              <w:rPr>
                <w:rFonts w:ascii="Times New Roman" w:cs="Times New Roman" w:eastAsia="Times New Roman" w:hAnsi="Times New Roman"/>
                <w:b w:val="false"/>
                <w:bCs w:val="false"/>
                <w:i w:val="false"/>
                <w:iCs w:val="false"/>
                <w:sz w:val="20"/>
                <w:szCs w:val="20"/>
              </w:rPr>
              <w:t xml:space="preserve">TC-INT-01</w:t>
            </w:r>
          </w:p>
        </w:tc>
        <w:tc>
          <w:tcPr>
            <w:tcW w:type="dxa" w:w="12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Adapter</w:t>
            </w:r>
          </w:p>
        </w:tc>
        <w:tc>
          <w:tcPr>
            <w:tcW w:type="dxa" w:w="3572"/>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Prompt-injection pattern is blocked before the LLM</w:t>
            </w:r>
          </w:p>
        </w:tc>
        <w:tc>
          <w:tcPr>
            <w:tcW w:type="dxa" w:w="21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Intent = HARMFUL</w:t>
            </w:r>
          </w:p>
        </w:tc>
        <w:tc>
          <w:tcPr>
            <w:tcW w:type="dxa" w:w="10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center"/>
            </w:pPr>
            <w:r>
              <w:rPr>
                <w:rFonts w:ascii="Times New Roman" w:cs="Times New Roman" w:eastAsia="Times New Roman" w:hAnsi="Times New Roman"/>
                <w:b w:val="false"/>
                <w:bCs w:val="false"/>
                <w:i w:val="false"/>
                <w:iCs w:val="false"/>
                <w:sz w:val="20"/>
                <w:szCs w:val="20"/>
              </w:rPr>
              <w:t xml:space="preserve">Pass</w:t>
            </w:r>
          </w:p>
        </w:tc>
      </w:tr>
      <w:tr>
        <w:tc>
          <w:tcPr>
            <w:tcW w:type="dxa" w:w="11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center"/>
            </w:pPr>
            <w:r>
              <w:rPr>
                <w:rFonts w:ascii="Times New Roman" w:cs="Times New Roman" w:eastAsia="Times New Roman" w:hAnsi="Times New Roman"/>
                <w:b w:val="false"/>
                <w:bCs w:val="false"/>
                <w:i w:val="false"/>
                <w:iCs w:val="false"/>
                <w:sz w:val="20"/>
                <w:szCs w:val="20"/>
              </w:rPr>
              <w:t xml:space="preserve">TC-INT-02</w:t>
            </w:r>
          </w:p>
        </w:tc>
        <w:tc>
          <w:tcPr>
            <w:tcW w:type="dxa" w:w="12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Adapter</w:t>
            </w:r>
          </w:p>
        </w:tc>
        <w:tc>
          <w:tcPr>
            <w:tcW w:type="dxa" w:w="3572"/>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Unknown or failed classification defaults safely</w:t>
            </w:r>
          </w:p>
        </w:tc>
        <w:tc>
          <w:tcPr>
            <w:tcW w:type="dxa" w:w="21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Intent = CONTENT_QUESTION</w:t>
            </w:r>
          </w:p>
        </w:tc>
        <w:tc>
          <w:tcPr>
            <w:tcW w:type="dxa" w:w="10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center"/>
            </w:pPr>
            <w:r>
              <w:rPr>
                <w:rFonts w:ascii="Times New Roman" w:cs="Times New Roman" w:eastAsia="Times New Roman" w:hAnsi="Times New Roman"/>
                <w:b w:val="false"/>
                <w:bCs w:val="false"/>
                <w:i w:val="false"/>
                <w:iCs w:val="false"/>
                <w:sz w:val="20"/>
                <w:szCs w:val="20"/>
              </w:rPr>
              <w:t xml:space="preserve">Pass</w:t>
            </w:r>
          </w:p>
        </w:tc>
      </w:tr>
      <w:tr>
        <w:tc>
          <w:tcPr>
            <w:tcW w:type="dxa" w:w="11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center"/>
            </w:pPr>
            <w:r>
              <w:rPr>
                <w:rFonts w:ascii="Times New Roman" w:cs="Times New Roman" w:eastAsia="Times New Roman" w:hAnsi="Times New Roman"/>
                <w:b w:val="false"/>
                <w:bCs w:val="false"/>
                <w:i w:val="false"/>
                <w:iCs w:val="false"/>
                <w:sz w:val="20"/>
                <w:szCs w:val="20"/>
              </w:rPr>
              <w:t xml:space="preserve">TC-RAG-01</w:t>
            </w:r>
          </w:p>
        </w:tc>
        <w:tc>
          <w:tcPr>
            <w:tcW w:type="dxa" w:w="12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Service</w:t>
            </w:r>
          </w:p>
        </w:tc>
        <w:tc>
          <w:tcPr>
            <w:tcW w:type="dxa" w:w="3572"/>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Non-content intent short-circuits retrieval</w:t>
            </w:r>
          </w:p>
        </w:tc>
        <w:tc>
          <w:tcPr>
            <w:tcW w:type="dxa" w:w="21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Hardcoded reply, no sources</w:t>
            </w:r>
          </w:p>
        </w:tc>
        <w:tc>
          <w:tcPr>
            <w:tcW w:type="dxa" w:w="10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center"/>
            </w:pPr>
            <w:r>
              <w:rPr>
                <w:rFonts w:ascii="Times New Roman" w:cs="Times New Roman" w:eastAsia="Times New Roman" w:hAnsi="Times New Roman"/>
                <w:b w:val="false"/>
                <w:bCs w:val="false"/>
                <w:i w:val="false"/>
                <w:iCs w:val="false"/>
                <w:sz w:val="20"/>
                <w:szCs w:val="20"/>
              </w:rPr>
              <w:t xml:space="preserve">Pass</w:t>
            </w:r>
          </w:p>
        </w:tc>
      </w:tr>
      <w:tr>
        <w:tc>
          <w:tcPr>
            <w:tcW w:type="dxa" w:w="11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center"/>
            </w:pPr>
            <w:r>
              <w:rPr>
                <w:rFonts w:ascii="Times New Roman" w:cs="Times New Roman" w:eastAsia="Times New Roman" w:hAnsi="Times New Roman"/>
                <w:b w:val="false"/>
                <w:bCs w:val="false"/>
                <w:i w:val="false"/>
                <w:iCs w:val="false"/>
                <w:sz w:val="20"/>
                <w:szCs w:val="20"/>
              </w:rPr>
              <w:t xml:space="preserve">TC-RAG-02</w:t>
            </w:r>
          </w:p>
        </w:tc>
        <w:tc>
          <w:tcPr>
            <w:tcW w:type="dxa" w:w="12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Service</w:t>
            </w:r>
          </w:p>
        </w:tc>
        <w:tc>
          <w:tcPr>
            <w:tcW w:type="dxa" w:w="3572"/>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Content question with no chunks returns fallback</w:t>
            </w:r>
          </w:p>
        </w:tc>
        <w:tc>
          <w:tcPr>
            <w:tcW w:type="dxa" w:w="21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Fallback text, no LLM call</w:t>
            </w:r>
          </w:p>
        </w:tc>
        <w:tc>
          <w:tcPr>
            <w:tcW w:type="dxa" w:w="10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center"/>
            </w:pPr>
            <w:r>
              <w:rPr>
                <w:rFonts w:ascii="Times New Roman" w:cs="Times New Roman" w:eastAsia="Times New Roman" w:hAnsi="Times New Roman"/>
                <w:b w:val="false"/>
                <w:bCs w:val="false"/>
                <w:i w:val="false"/>
                <w:iCs w:val="false"/>
                <w:sz w:val="20"/>
                <w:szCs w:val="20"/>
              </w:rPr>
              <w:t xml:space="preserve">Pass</w:t>
            </w:r>
          </w:p>
        </w:tc>
      </w:tr>
      <w:tr>
        <w:tc>
          <w:tcPr>
            <w:tcW w:type="dxa" w:w="11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center"/>
            </w:pPr>
            <w:r>
              <w:rPr>
                <w:rFonts w:ascii="Times New Roman" w:cs="Times New Roman" w:eastAsia="Times New Roman" w:hAnsi="Times New Roman"/>
                <w:b w:val="false"/>
                <w:bCs w:val="false"/>
                <w:i w:val="false"/>
                <w:iCs w:val="false"/>
                <w:sz w:val="20"/>
                <w:szCs w:val="20"/>
              </w:rPr>
              <w:t xml:space="preserve">TC-RAG-03</w:t>
            </w:r>
          </w:p>
        </w:tc>
        <w:tc>
          <w:tcPr>
            <w:tcW w:type="dxa" w:w="12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Service</w:t>
            </w:r>
          </w:p>
        </w:tc>
        <w:tc>
          <w:tcPr>
            <w:tcW w:type="dxa" w:w="3572"/>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Cited chunks deduped by video (highest score wins)</w:t>
            </w:r>
          </w:p>
        </w:tc>
        <w:tc>
          <w:tcPr>
            <w:tcW w:type="dxa" w:w="21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One source per video</w:t>
            </w:r>
          </w:p>
        </w:tc>
        <w:tc>
          <w:tcPr>
            <w:tcW w:type="dxa" w:w="10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center"/>
            </w:pPr>
            <w:r>
              <w:rPr>
                <w:rFonts w:ascii="Times New Roman" w:cs="Times New Roman" w:eastAsia="Times New Roman" w:hAnsi="Times New Roman"/>
                <w:b w:val="false"/>
                <w:bCs w:val="false"/>
                <w:i w:val="false"/>
                <w:iCs w:val="false"/>
                <w:sz w:val="20"/>
                <w:szCs w:val="20"/>
              </w:rPr>
              <w:t xml:space="preserve">Pass</w:t>
            </w:r>
          </w:p>
        </w:tc>
      </w:tr>
      <w:tr>
        <w:tc>
          <w:tcPr>
            <w:tcW w:type="dxa" w:w="11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center"/>
            </w:pPr>
            <w:r>
              <w:rPr>
                <w:rFonts w:ascii="Times New Roman" w:cs="Times New Roman" w:eastAsia="Times New Roman" w:hAnsi="Times New Roman"/>
                <w:b w:val="false"/>
                <w:bCs w:val="false"/>
                <w:i w:val="false"/>
                <w:iCs w:val="false"/>
                <w:sz w:val="20"/>
                <w:szCs w:val="20"/>
              </w:rPr>
              <w:t xml:space="preserve">TC-RAG-04</w:t>
            </w:r>
          </w:p>
        </w:tc>
        <w:tc>
          <w:tcPr>
            <w:tcW w:type="dxa" w:w="12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Service</w:t>
            </w:r>
          </w:p>
        </w:tc>
        <w:tc>
          <w:tcPr>
            <w:tcW w:type="dxa" w:w="3572"/>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Citations parsed (English and Arabic comma) and stripped</w:t>
            </w:r>
          </w:p>
        </w:tc>
        <w:tc>
          <w:tcPr>
            <w:tcW w:type="dxa" w:w="21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Clean answer plus sources</w:t>
            </w:r>
          </w:p>
        </w:tc>
        <w:tc>
          <w:tcPr>
            <w:tcW w:type="dxa" w:w="10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center"/>
            </w:pPr>
            <w:r>
              <w:rPr>
                <w:rFonts w:ascii="Times New Roman" w:cs="Times New Roman" w:eastAsia="Times New Roman" w:hAnsi="Times New Roman"/>
                <w:b w:val="false"/>
                <w:bCs w:val="false"/>
                <w:i w:val="false"/>
                <w:iCs w:val="false"/>
                <w:sz w:val="20"/>
                <w:szCs w:val="20"/>
              </w:rPr>
              <w:t xml:space="preserve">Pass</w:t>
            </w:r>
          </w:p>
        </w:tc>
      </w:tr>
      <w:tr>
        <w:tc>
          <w:tcPr>
            <w:tcW w:type="dxa" w:w="11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center"/>
            </w:pPr>
            <w:r>
              <w:rPr>
                <w:rFonts w:ascii="Times New Roman" w:cs="Times New Roman" w:eastAsia="Times New Roman" w:hAnsi="Times New Roman"/>
                <w:b w:val="false"/>
                <w:bCs w:val="false"/>
                <w:i w:val="false"/>
                <w:iCs w:val="false"/>
                <w:sz w:val="20"/>
                <w:szCs w:val="20"/>
              </w:rPr>
              <w:t xml:space="preserve">TC-ANLY-01</w:t>
            </w:r>
          </w:p>
        </w:tc>
        <w:tc>
          <w:tcPr>
            <w:tcW w:type="dxa" w:w="12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Service</w:t>
            </w:r>
          </w:p>
        </w:tc>
        <w:tc>
          <w:tcPr>
            <w:tcW w:type="dxa" w:w="3572"/>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Empty question list returns empty analytics</w:t>
            </w:r>
          </w:p>
        </w:tc>
        <w:tc>
          <w:tcPr>
            <w:tcW w:type="dxa" w:w="21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Empty response</w:t>
            </w:r>
          </w:p>
        </w:tc>
        <w:tc>
          <w:tcPr>
            <w:tcW w:type="dxa" w:w="10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center"/>
            </w:pPr>
            <w:r>
              <w:rPr>
                <w:rFonts w:ascii="Times New Roman" w:cs="Times New Roman" w:eastAsia="Times New Roman" w:hAnsi="Times New Roman"/>
                <w:b w:val="false"/>
                <w:bCs w:val="false"/>
                <w:i w:val="false"/>
                <w:iCs w:val="false"/>
                <w:sz w:val="20"/>
                <w:szCs w:val="20"/>
              </w:rPr>
              <w:t xml:space="preserve">Pass</w:t>
            </w:r>
          </w:p>
        </w:tc>
      </w:tr>
      <w:tr>
        <w:tc>
          <w:tcPr>
            <w:tcW w:type="dxa" w:w="11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center"/>
            </w:pPr>
            <w:r>
              <w:rPr>
                <w:rFonts w:ascii="Times New Roman" w:cs="Times New Roman" w:eastAsia="Times New Roman" w:hAnsi="Times New Roman"/>
                <w:b w:val="false"/>
                <w:bCs w:val="false"/>
                <w:i w:val="false"/>
                <w:iCs w:val="false"/>
                <w:sz w:val="20"/>
                <w:szCs w:val="20"/>
              </w:rPr>
              <w:t xml:space="preserve">TC-ANLY-02</w:t>
            </w:r>
          </w:p>
        </w:tc>
        <w:tc>
          <w:tcPr>
            <w:tcW w:type="dxa" w:w="12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Service</w:t>
            </w:r>
          </w:p>
        </w:tc>
        <w:tc>
          <w:tcPr>
            <w:tcW w:type="dxa" w:w="3572"/>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LLM JSON (plain, fenced, or embedded) is parsed</w:t>
            </w:r>
          </w:p>
        </w:tc>
        <w:tc>
          <w:tcPr>
            <w:tcW w:type="dxa" w:w="21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Clusters and content gaps</w:t>
            </w:r>
          </w:p>
        </w:tc>
        <w:tc>
          <w:tcPr>
            <w:tcW w:type="dxa" w:w="10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center"/>
            </w:pPr>
            <w:r>
              <w:rPr>
                <w:rFonts w:ascii="Times New Roman" w:cs="Times New Roman" w:eastAsia="Times New Roman" w:hAnsi="Times New Roman"/>
                <w:b w:val="false"/>
                <w:bCs w:val="false"/>
                <w:i w:val="false"/>
                <w:iCs w:val="false"/>
                <w:sz w:val="20"/>
                <w:szCs w:val="20"/>
              </w:rPr>
              <w:t xml:space="preserve">Pass</w:t>
            </w:r>
          </w:p>
        </w:tc>
      </w:tr>
      <w:tr>
        <w:tc>
          <w:tcPr>
            <w:tcW w:type="dxa" w:w="11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center"/>
            </w:pPr>
            <w:r>
              <w:rPr>
                <w:rFonts w:ascii="Times New Roman" w:cs="Times New Roman" w:eastAsia="Times New Roman" w:hAnsi="Times New Roman"/>
                <w:b w:val="false"/>
                <w:bCs w:val="false"/>
                <w:i w:val="false"/>
                <w:iCs w:val="false"/>
                <w:sz w:val="20"/>
                <w:szCs w:val="20"/>
              </w:rPr>
              <w:t xml:space="preserve">TC-CLS-01</w:t>
            </w:r>
          </w:p>
        </w:tc>
        <w:tc>
          <w:tcPr>
            <w:tcW w:type="dxa" w:w="12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Service</w:t>
            </w:r>
          </w:p>
        </w:tc>
        <w:tc>
          <w:tcPr>
            <w:tcW w:type="dxa" w:w="3572"/>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Exact and fuzzy class match; unmatched is skipped</w:t>
            </w:r>
          </w:p>
        </w:tc>
        <w:tc>
          <w:tcPr>
            <w:tcW w:type="dxa" w:w="21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Matched id or no report</w:t>
            </w:r>
          </w:p>
        </w:tc>
        <w:tc>
          <w:tcPr>
            <w:tcW w:type="dxa" w:w="10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center"/>
            </w:pPr>
            <w:r>
              <w:rPr>
                <w:rFonts w:ascii="Times New Roman" w:cs="Times New Roman" w:eastAsia="Times New Roman" w:hAnsi="Times New Roman"/>
                <w:b w:val="false"/>
                <w:bCs w:val="false"/>
                <w:i w:val="false"/>
                <w:iCs w:val="false"/>
                <w:sz w:val="20"/>
                <w:szCs w:val="20"/>
              </w:rPr>
              <w:t xml:space="preserve">Pass</w:t>
            </w:r>
          </w:p>
        </w:tc>
      </w:tr>
      <w:tr>
        <w:tc>
          <w:tcPr>
            <w:tcW w:type="dxa" w:w="11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center"/>
            </w:pPr>
            <w:r>
              <w:rPr>
                <w:rFonts w:ascii="Times New Roman" w:cs="Times New Roman" w:eastAsia="Times New Roman" w:hAnsi="Times New Roman"/>
                <w:b w:val="false"/>
                <w:bCs w:val="false"/>
                <w:i w:val="false"/>
                <w:iCs w:val="false"/>
                <w:sz w:val="20"/>
                <w:szCs w:val="20"/>
              </w:rPr>
              <w:t xml:space="preserve">TC-ING-01</w:t>
            </w:r>
          </w:p>
        </w:tc>
        <w:tc>
          <w:tcPr>
            <w:tcW w:type="dxa" w:w="12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Service</w:t>
            </w:r>
          </w:p>
        </w:tc>
        <w:tc>
          <w:tcPr>
            <w:tcW w:type="dxa" w:w="3572"/>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Transcript rate-limit is retryable; missing is permanent</w:t>
            </w:r>
          </w:p>
        </w:tc>
        <w:tc>
          <w:tcPr>
            <w:tcW w:type="dxa" w:w="21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Correct error type</w:t>
            </w:r>
          </w:p>
        </w:tc>
        <w:tc>
          <w:tcPr>
            <w:tcW w:type="dxa" w:w="10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center"/>
            </w:pPr>
            <w:r>
              <w:rPr>
                <w:rFonts w:ascii="Times New Roman" w:cs="Times New Roman" w:eastAsia="Times New Roman" w:hAnsi="Times New Roman"/>
                <w:b w:val="false"/>
                <w:bCs w:val="false"/>
                <w:i w:val="false"/>
                <w:iCs w:val="false"/>
                <w:sz w:val="20"/>
                <w:szCs w:val="20"/>
              </w:rPr>
              <w:t xml:space="preserve">Pass</w:t>
            </w:r>
          </w:p>
        </w:tc>
      </w:tr>
      <w:tr>
        <w:tc>
          <w:tcPr>
            <w:tcW w:type="dxa" w:w="11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center"/>
            </w:pPr>
            <w:r>
              <w:rPr>
                <w:rFonts w:ascii="Times New Roman" w:cs="Times New Roman" w:eastAsia="Times New Roman" w:hAnsi="Times New Roman"/>
                <w:b w:val="false"/>
                <w:bCs w:val="false"/>
                <w:i w:val="false"/>
                <w:iCs w:val="false"/>
                <w:sz w:val="20"/>
                <w:szCs w:val="20"/>
              </w:rPr>
              <w:t xml:space="preserve">TC-ING-02</w:t>
            </w:r>
          </w:p>
        </w:tc>
        <w:tc>
          <w:tcPr>
            <w:tcW w:type="dxa" w:w="12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Service</w:t>
            </w:r>
          </w:p>
        </w:tc>
        <w:tc>
          <w:tcPr>
            <w:tcW w:type="dxa" w:w="3572"/>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Indexing failure is retryable at the indexing stage</w:t>
            </w:r>
          </w:p>
        </w:tc>
        <w:tc>
          <w:tcPr>
            <w:tcW w:type="dxa" w:w="21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RetryableIngestionError</w:t>
            </w:r>
          </w:p>
        </w:tc>
        <w:tc>
          <w:tcPr>
            <w:tcW w:type="dxa" w:w="10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center"/>
            </w:pPr>
            <w:r>
              <w:rPr>
                <w:rFonts w:ascii="Times New Roman" w:cs="Times New Roman" w:eastAsia="Times New Roman" w:hAnsi="Times New Roman"/>
                <w:b w:val="false"/>
                <w:bCs w:val="false"/>
                <w:i w:val="false"/>
                <w:iCs w:val="false"/>
                <w:sz w:val="20"/>
                <w:szCs w:val="20"/>
              </w:rPr>
              <w:t xml:space="preserve">Pass</w:t>
            </w:r>
          </w:p>
        </w:tc>
      </w:tr>
      <w:tr>
        <w:tc>
          <w:tcPr>
            <w:tcW w:type="dxa" w:w="11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center"/>
            </w:pPr>
            <w:r>
              <w:rPr>
                <w:rFonts w:ascii="Times New Roman" w:cs="Times New Roman" w:eastAsia="Times New Roman" w:hAnsi="Times New Roman"/>
                <w:b w:val="false"/>
                <w:bCs w:val="false"/>
                <w:i w:val="false"/>
                <w:iCs w:val="false"/>
                <w:sz w:val="20"/>
                <w:szCs w:val="20"/>
              </w:rPr>
              <w:t xml:space="preserve">TC-API-01</w:t>
            </w:r>
          </w:p>
        </w:tc>
        <w:tc>
          <w:tcPr>
            <w:tcW w:type="dxa" w:w="12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API</w:t>
            </w:r>
          </w:p>
        </w:tc>
        <w:tc>
          <w:tcPr>
            <w:tcW w:type="dxa" w:w="3572"/>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Missing or invalid internal token is rejected</w:t>
            </w:r>
          </w:p>
        </w:tc>
        <w:tc>
          <w:tcPr>
            <w:tcW w:type="dxa" w:w="21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401 Unauthorized</w:t>
            </w:r>
          </w:p>
        </w:tc>
        <w:tc>
          <w:tcPr>
            <w:tcW w:type="dxa" w:w="10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center"/>
            </w:pPr>
            <w:r>
              <w:rPr>
                <w:rFonts w:ascii="Times New Roman" w:cs="Times New Roman" w:eastAsia="Times New Roman" w:hAnsi="Times New Roman"/>
                <w:b w:val="false"/>
                <w:bCs w:val="false"/>
                <w:i w:val="false"/>
                <w:iCs w:val="false"/>
                <w:sz w:val="20"/>
                <w:szCs w:val="20"/>
              </w:rPr>
              <w:t xml:space="preserve">Pass</w:t>
            </w:r>
          </w:p>
        </w:tc>
      </w:tr>
      <w:tr>
        <w:tc>
          <w:tcPr>
            <w:tcW w:type="dxa" w:w="11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center"/>
            </w:pPr>
            <w:r>
              <w:rPr>
                <w:rFonts w:ascii="Times New Roman" w:cs="Times New Roman" w:eastAsia="Times New Roman" w:hAnsi="Times New Roman"/>
                <w:b w:val="false"/>
                <w:bCs w:val="false"/>
                <w:i w:val="false"/>
                <w:iCs w:val="false"/>
                <w:sz w:val="20"/>
                <w:szCs w:val="20"/>
              </w:rPr>
              <w:t xml:space="preserve">TC-API-02</w:t>
            </w:r>
          </w:p>
        </w:tc>
        <w:tc>
          <w:tcPr>
            <w:tcW w:type="dxa" w:w="12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API</w:t>
            </w:r>
          </w:p>
        </w:tc>
        <w:tc>
          <w:tcPr>
            <w:tcW w:type="dxa" w:w="3572"/>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Valid chat request returns a response body</w:t>
            </w:r>
          </w:p>
        </w:tc>
        <w:tc>
          <w:tcPr>
            <w:tcW w:type="dxa" w:w="21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200 OK</w:t>
            </w:r>
          </w:p>
        </w:tc>
        <w:tc>
          <w:tcPr>
            <w:tcW w:type="dxa" w:w="10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center"/>
            </w:pPr>
            <w:r>
              <w:rPr>
                <w:rFonts w:ascii="Times New Roman" w:cs="Times New Roman" w:eastAsia="Times New Roman" w:hAnsi="Times New Roman"/>
                <w:b w:val="false"/>
                <w:bCs w:val="false"/>
                <w:i w:val="false"/>
                <w:iCs w:val="false"/>
                <w:sz w:val="20"/>
                <w:szCs w:val="20"/>
              </w:rPr>
              <w:t xml:space="preserve">Pass</w:t>
            </w:r>
          </w:p>
        </w:tc>
      </w:tr>
      <w:tr>
        <w:tc>
          <w:tcPr>
            <w:tcW w:type="dxa" w:w="11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center"/>
            </w:pPr>
            <w:r>
              <w:rPr>
                <w:rFonts w:ascii="Times New Roman" w:cs="Times New Roman" w:eastAsia="Times New Roman" w:hAnsi="Times New Roman"/>
                <w:b w:val="false"/>
                <w:bCs w:val="false"/>
                <w:i w:val="false"/>
                <w:iCs w:val="false"/>
                <w:sz w:val="20"/>
                <w:szCs w:val="20"/>
              </w:rPr>
              <w:t xml:space="preserve">TC-API-03</w:t>
            </w:r>
          </w:p>
        </w:tc>
        <w:tc>
          <w:tcPr>
            <w:tcW w:type="dxa" w:w="12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API</w:t>
            </w:r>
          </w:p>
        </w:tc>
        <w:tc>
          <w:tcPr>
            <w:tcW w:type="dxa" w:w="3572"/>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Video ingestion is accepted as a background task</w:t>
            </w:r>
          </w:p>
        </w:tc>
        <w:tc>
          <w:tcPr>
            <w:tcW w:type="dxa" w:w="21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202 Accepted</w:t>
            </w:r>
          </w:p>
        </w:tc>
        <w:tc>
          <w:tcPr>
            <w:tcW w:type="dxa" w:w="10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center"/>
            </w:pPr>
            <w:r>
              <w:rPr>
                <w:rFonts w:ascii="Times New Roman" w:cs="Times New Roman" w:eastAsia="Times New Roman" w:hAnsi="Times New Roman"/>
                <w:b w:val="false"/>
                <w:bCs w:val="false"/>
                <w:i w:val="false"/>
                <w:iCs w:val="false"/>
                <w:sz w:val="20"/>
                <w:szCs w:val="20"/>
              </w:rPr>
              <w:t xml:space="preserve">Pass</w:t>
            </w:r>
          </w:p>
        </w:tc>
      </w:tr>
      <w:tr>
        <w:tc>
          <w:tcPr>
            <w:tcW w:type="dxa" w:w="11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center"/>
            </w:pPr>
            <w:r>
              <w:rPr>
                <w:rFonts w:ascii="Times New Roman" w:cs="Times New Roman" w:eastAsia="Times New Roman" w:hAnsi="Times New Roman"/>
                <w:b w:val="false"/>
                <w:bCs w:val="false"/>
                <w:i w:val="false"/>
                <w:iCs w:val="false"/>
                <w:sz w:val="20"/>
                <w:szCs w:val="20"/>
              </w:rPr>
              <w:t xml:space="preserve">TC-API-04</w:t>
            </w:r>
          </w:p>
        </w:tc>
        <w:tc>
          <w:tcPr>
            <w:tcW w:type="dxa" w:w="12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API</w:t>
            </w:r>
          </w:p>
        </w:tc>
        <w:tc>
          <w:tcPr>
            <w:tcW w:type="dxa" w:w="3572"/>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Health reports degraded when Qdrant is down</w:t>
            </w:r>
          </w:p>
        </w:tc>
        <w:tc>
          <w:tcPr>
            <w:tcW w:type="dxa" w:w="21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status = degraded</w:t>
            </w:r>
          </w:p>
        </w:tc>
        <w:tc>
          <w:tcPr>
            <w:tcW w:type="dxa" w:w="10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center"/>
            </w:pPr>
            <w:r>
              <w:rPr>
                <w:rFonts w:ascii="Times New Roman" w:cs="Times New Roman" w:eastAsia="Times New Roman" w:hAnsi="Times New Roman"/>
                <w:b w:val="false"/>
                <w:bCs w:val="false"/>
                <w:i w:val="false"/>
                <w:iCs w:val="false"/>
                <w:sz w:val="20"/>
                <w:szCs w:val="20"/>
              </w:rPr>
              <w:t xml:space="preserve">Pass</w:t>
            </w:r>
          </w:p>
        </w:tc>
      </w:tr>
      <w:tr>
        <w:tc>
          <w:tcPr>
            <w:tcW w:type="dxa" w:w="11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center"/>
            </w:pPr>
            <w:r>
              <w:rPr>
                <w:rFonts w:ascii="Times New Roman" w:cs="Times New Roman" w:eastAsia="Times New Roman" w:hAnsi="Times New Roman"/>
                <w:b w:val="false"/>
                <w:bCs w:val="false"/>
                <w:i w:val="false"/>
                <w:iCs w:val="false"/>
                <w:sz w:val="20"/>
                <w:szCs w:val="20"/>
              </w:rPr>
              <w:t xml:space="preserve">TC-API-05</w:t>
            </w:r>
          </w:p>
        </w:tc>
        <w:tc>
          <w:tcPr>
            <w:tcW w:type="dxa" w:w="12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API</w:t>
            </w:r>
          </w:p>
        </w:tc>
        <w:tc>
          <w:tcPr>
            <w:tcW w:type="dxa" w:w="3572"/>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Analytics returns a camelCase body</w:t>
            </w:r>
          </w:p>
        </w:tc>
        <w:tc>
          <w:tcPr>
            <w:tcW w:type="dxa" w:w="21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200 OK, camelCase keys</w:t>
            </w:r>
          </w:p>
        </w:tc>
        <w:tc>
          <w:tcPr>
            <w:tcW w:type="dxa" w:w="10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center"/>
            </w:pPr>
            <w:r>
              <w:rPr>
                <w:rFonts w:ascii="Times New Roman" w:cs="Times New Roman" w:eastAsia="Times New Roman" w:hAnsi="Times New Roman"/>
                <w:b w:val="false"/>
                <w:bCs w:val="false"/>
                <w:i w:val="false"/>
                <w:iCs w:val="false"/>
                <w:sz w:val="20"/>
                <w:szCs w:val="20"/>
              </w:rPr>
              <w:t xml:space="preserve">Pass</w:t>
            </w:r>
          </w:p>
        </w:tc>
      </w:tr>
      <w:tr>
        <w:tc>
          <w:tcPr>
            <w:tcW w:type="dxa" w:w="11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center"/>
            </w:pPr>
            <w:r>
              <w:rPr>
                <w:rFonts w:ascii="Times New Roman" w:cs="Times New Roman" w:eastAsia="Times New Roman" w:hAnsi="Times New Roman"/>
                <w:b w:val="false"/>
                <w:bCs w:val="false"/>
                <w:i w:val="false"/>
                <w:iCs w:val="false"/>
                <w:sz w:val="20"/>
                <w:szCs w:val="20"/>
              </w:rPr>
              <w:t xml:space="preserve">TC-WRK-01</w:t>
            </w:r>
          </w:p>
        </w:tc>
        <w:tc>
          <w:tcPr>
            <w:tcW w:type="dxa" w:w="12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Worker</w:t>
            </w:r>
          </w:p>
        </w:tc>
        <w:tc>
          <w:tcPr>
            <w:tcW w:type="dxa" w:w="3572"/>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Duplicate idempotency key is not reprocessed</w:t>
            </w:r>
          </w:p>
        </w:tc>
        <w:tc>
          <w:tcPr>
            <w:tcW w:type="dxa" w:w="21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Reported COMPLETED</w:t>
            </w:r>
          </w:p>
        </w:tc>
        <w:tc>
          <w:tcPr>
            <w:tcW w:type="dxa" w:w="10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center"/>
            </w:pPr>
            <w:r>
              <w:rPr>
                <w:rFonts w:ascii="Times New Roman" w:cs="Times New Roman" w:eastAsia="Times New Roman" w:hAnsi="Times New Roman"/>
                <w:b w:val="false"/>
                <w:bCs w:val="false"/>
                <w:i w:val="false"/>
                <w:iCs w:val="false"/>
                <w:sz w:val="20"/>
                <w:szCs w:val="20"/>
              </w:rPr>
              <w:t xml:space="preserve">Pass</w:t>
            </w:r>
          </w:p>
        </w:tc>
      </w:tr>
      <w:tr>
        <w:tc>
          <w:tcPr>
            <w:tcW w:type="dxa" w:w="11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center"/>
            </w:pPr>
            <w:r>
              <w:rPr>
                <w:rFonts w:ascii="Times New Roman" w:cs="Times New Roman" w:eastAsia="Times New Roman" w:hAnsi="Times New Roman"/>
                <w:b w:val="false"/>
                <w:bCs w:val="false"/>
                <w:i w:val="false"/>
                <w:iCs w:val="false"/>
                <w:sz w:val="20"/>
                <w:szCs w:val="20"/>
              </w:rPr>
              <w:t xml:space="preserve">TC-WRK-02</w:t>
            </w:r>
          </w:p>
        </w:tc>
        <w:tc>
          <w:tcPr>
            <w:tcW w:type="dxa" w:w="12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Worker</w:t>
            </w:r>
          </w:p>
        </w:tc>
        <w:tc>
          <w:tcPr>
            <w:tcW w:type="dxa" w:w="3572"/>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Non-retryable failure is reported permanent</w:t>
            </w:r>
          </w:p>
        </w:tc>
        <w:tc>
          <w:tcPr>
            <w:tcW w:type="dxa" w:w="21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FAILED, retryable = false</w:t>
            </w:r>
          </w:p>
        </w:tc>
        <w:tc>
          <w:tcPr>
            <w:tcW w:type="dxa" w:w="10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center"/>
            </w:pPr>
            <w:r>
              <w:rPr>
                <w:rFonts w:ascii="Times New Roman" w:cs="Times New Roman" w:eastAsia="Times New Roman" w:hAnsi="Times New Roman"/>
                <w:b w:val="false"/>
                <w:bCs w:val="false"/>
                <w:i w:val="false"/>
                <w:iCs w:val="false"/>
                <w:sz w:val="20"/>
                <w:szCs w:val="20"/>
              </w:rPr>
              <w:t xml:space="preserve">Pass</w:t>
            </w:r>
          </w:p>
        </w:tc>
      </w:tr>
      <w:tr>
        <w:tc>
          <w:tcPr>
            <w:tcW w:type="dxa" w:w="11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center"/>
            </w:pPr>
            <w:r>
              <w:rPr>
                <w:rFonts w:ascii="Times New Roman" w:cs="Times New Roman" w:eastAsia="Times New Roman" w:hAnsi="Times New Roman"/>
                <w:b w:val="false"/>
                <w:bCs w:val="false"/>
                <w:i w:val="false"/>
                <w:iCs w:val="false"/>
                <w:sz w:val="20"/>
                <w:szCs w:val="20"/>
              </w:rPr>
              <w:t xml:space="preserve">TC-WRK-03</w:t>
            </w:r>
          </w:p>
        </w:tc>
        <w:tc>
          <w:tcPr>
            <w:tcW w:type="dxa" w:w="12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Worker</w:t>
            </w:r>
          </w:p>
        </w:tc>
        <w:tc>
          <w:tcPr>
            <w:tcW w:type="dxa" w:w="3572"/>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Dead-letter handler reports the video dead</w:t>
            </w:r>
          </w:p>
        </w:tc>
        <w:tc>
          <w:tcPr>
            <w:tcW w:type="dxa" w:w="215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0"/>
                <w:szCs w:val="20"/>
              </w:rPr>
              <w:t xml:space="preserve">Reported DEAD</w:t>
            </w:r>
          </w:p>
        </w:tc>
        <w:tc>
          <w:tcPr>
            <w:tcW w:type="dxa" w:w="10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center"/>
            </w:pPr>
            <w:r>
              <w:rPr>
                <w:rFonts w:ascii="Times New Roman" w:cs="Times New Roman" w:eastAsia="Times New Roman" w:hAnsi="Times New Roman"/>
                <w:b w:val="false"/>
                <w:bCs w:val="false"/>
                <w:i w:val="false"/>
                <w:iCs w:val="false"/>
                <w:sz w:val="20"/>
                <w:szCs w:val="20"/>
              </w:rPr>
              <w:t xml:space="preserve">Pass</w:t>
            </w:r>
          </w:p>
        </w:tc>
      </w:tr>
    </w:tbl>
    <w:p>
      <w:pPr>
        <w:pStyle w:val="Heading3"/>
        <w:spacing w:after="160" w:before="240"/>
        <w:jc w:val="left"/>
      </w:pPr>
      <w:r>
        <w:rPr>
          <w:rFonts w:ascii="Times New Roman" w:cs="Times New Roman" w:eastAsia="Times New Roman" w:hAnsi="Times New Roman"/>
          <w:b/>
          <w:bCs/>
          <w:sz w:val="26"/>
          <w:szCs w:val="26"/>
        </w:rPr>
        <w:t xml:space="preserve">6.2.1 Latest Test Run</w:t>
      </w:r>
    </w:p>
    <w:p>
      <w:pPr>
        <w:spacing w:after="60" w:before="120" w:line="276" w:lineRule="auto"/>
        <w:jc w:val="left"/>
      </w:pPr>
      <w:r>
        <w:rPr>
          <w:rFonts w:ascii="Times New Roman" w:cs="Times New Roman" w:eastAsia="Times New Roman" w:hAnsi="Times New Roman"/>
          <w:b/>
          <w:bCs/>
          <w:sz w:val="22"/>
          <w:szCs w:val="22"/>
        </w:rPr>
        <w:t xml:space="preserve">Table 6.4  </w:t>
      </w:r>
      <w:r>
        <w:rPr>
          <w:rFonts w:ascii="Times New Roman" w:cs="Times New Roman" w:eastAsia="Times New Roman" w:hAnsi="Times New Roman"/>
          <w:sz w:val="22"/>
          <w:szCs w:val="22"/>
        </w:rPr>
        <w:t xml:space="preserve">Summary of the latest test run.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5400"/>
        <w:gridCol w:w="3672"/>
      </w:tblGrid>
      <w:tr>
        <w:trPr>
          <w:tblHeader/>
        </w:trPr>
        <w:tc>
          <w:tcPr>
            <w:tcW w:type="dxa" w:w="5400"/>
            <w:tcBorders>
              <w:top w:val="single" w:color="999999" w:sz="4"/>
              <w:left w:val="single" w:color="999999" w:sz="4"/>
              <w:bottom w:val="single" w:color="999999" w:sz="4"/>
              <w:right w:val="single" w:color="999999" w:sz="4"/>
            </w:tcBorders>
            <w:shd w:fill="D9E2F3" w:val="clear"/>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bCs/>
                <w:i w:val="false"/>
                <w:iCs w:val="false"/>
                <w:sz w:val="24"/>
                <w:szCs w:val="24"/>
              </w:rPr>
              <w:t xml:space="preserve">Command</w:t>
            </w:r>
          </w:p>
        </w:tc>
        <w:tc>
          <w:tcPr>
            <w:tcW w:type="dxa" w:w="3672"/>
            <w:tcBorders>
              <w:top w:val="single" w:color="999999" w:sz="4"/>
              <w:left w:val="single" w:color="999999" w:sz="4"/>
              <w:bottom w:val="single" w:color="999999" w:sz="4"/>
              <w:right w:val="single" w:color="999999" w:sz="4"/>
            </w:tcBorders>
            <w:shd w:fill="D9E2F3" w:val="clear"/>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bCs/>
                <w:i w:val="false"/>
                <w:iCs w:val="false"/>
                <w:sz w:val="24"/>
                <w:szCs w:val="24"/>
              </w:rPr>
              <w:t xml:space="preserve">Result</w:t>
            </w:r>
          </w:p>
        </w:tc>
      </w:tr>
      <w:tr>
        <w:tc>
          <w:tcPr>
            <w:tcW w:type="dxa" w:w="54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4"/>
                <w:szCs w:val="24"/>
              </w:rPr>
              <w:t xml:space="preserve">pytest</w:t>
            </w:r>
          </w:p>
        </w:tc>
        <w:tc>
          <w:tcPr>
            <w:tcW w:type="dxa" w:w="3672"/>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4"/>
                <w:szCs w:val="24"/>
              </w:rPr>
              <w:t xml:space="preserve">160 passed, 2 deselected (integration)</w:t>
            </w:r>
          </w:p>
        </w:tc>
      </w:tr>
      <w:tr>
        <w:tc>
          <w:tcPr>
            <w:tcW w:type="dxa" w:w="54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4"/>
                <w:szCs w:val="24"/>
              </w:rPr>
              <w:t xml:space="preserve">pytest --cov (core, rag, services, routes, schemas, infrastructure, workers)</w:t>
            </w:r>
          </w:p>
        </w:tc>
        <w:tc>
          <w:tcPr>
            <w:tcW w:type="dxa" w:w="3672"/>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4"/>
                <w:szCs w:val="24"/>
              </w:rPr>
              <w:t xml:space="preserve">83% line coverage</w:t>
            </w:r>
          </w:p>
        </w:tc>
      </w:tr>
    </w:tbl>
    <w:p>
      <w:r>
        <w:t xml:space="preserve">Routes, schemas, prompts, the MMR reranker, and text normalization sit at or near full coverage. Coverage is intentionally lower on the input/output-bound modules that the default suite does not exercise for real: the transcript loader (live YouTube and yt-dlp) and the embedder (real model download).</w:t>
      </w:r>
    </w:p>
    <w:p>
      <w:r>
        <w:t xml:space="preserve">Testing also surfaced a real defect: the prompt builder called upper() on the optional verbosity field unconditionally, so a chat request that omitted verbosity would raise an AttributeError and return HTTP 500. It was fixed to treat a missing value as empty and is now covered by a regression test.</w:t>
      </w:r>
    </w:p>
    <w:p>
      <w:pPr>
        <w:pStyle w:val="Heading2"/>
        <w:spacing w:after="200" w:before="280"/>
        <w:jc w:val="left"/>
      </w:pPr>
      <w:r>
        <w:rPr>
          <w:rFonts w:ascii="Times New Roman" w:cs="Times New Roman" w:eastAsia="Times New Roman" w:hAnsi="Times New Roman"/>
          <w:b/>
          <w:bCs/>
          <w:sz w:val="28"/>
          <w:szCs w:val="28"/>
        </w:rPr>
        <w:t xml:space="preserve">6.3 Limitations</w:t>
      </w:r>
    </w:p>
    <w:p>
      <w:r>
        <w:t xml:space="preserve">The following limitations relate to the testing environment and external services rather than to defects in the service itself.</w:t>
      </w:r>
    </w:p>
    <w:p>
      <w:pPr>
        <w:spacing w:after="60" w:before="120" w:line="276" w:lineRule="auto"/>
        <w:jc w:val="left"/>
      </w:pPr>
      <w:r>
        <w:rPr>
          <w:rFonts w:ascii="Times New Roman" w:cs="Times New Roman" w:eastAsia="Times New Roman" w:hAnsi="Times New Roman"/>
          <w:b/>
          <w:bCs/>
          <w:sz w:val="22"/>
          <w:szCs w:val="22"/>
        </w:rPr>
        <w:t xml:space="preserve">Table 6.5  </w:t>
      </w:r>
      <w:r>
        <w:rPr>
          <w:rFonts w:ascii="Times New Roman" w:cs="Times New Roman" w:eastAsia="Times New Roman" w:hAnsi="Times New Roman"/>
          <w:sz w:val="22"/>
          <w:szCs w:val="22"/>
        </w:rPr>
        <w:t xml:space="preserve">Testing limitations and their impact.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200"/>
        <w:gridCol w:w="5872"/>
      </w:tblGrid>
      <w:tr>
        <w:trPr>
          <w:tblHeader/>
        </w:trPr>
        <w:tc>
          <w:tcPr>
            <w:tcW w:type="dxa" w:w="3200"/>
            <w:tcBorders>
              <w:top w:val="single" w:color="999999" w:sz="4"/>
              <w:left w:val="single" w:color="999999" w:sz="4"/>
              <w:bottom w:val="single" w:color="999999" w:sz="4"/>
              <w:right w:val="single" w:color="999999" w:sz="4"/>
            </w:tcBorders>
            <w:shd w:fill="D9E2F3" w:val="clear"/>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bCs/>
                <w:i w:val="false"/>
                <w:iCs w:val="false"/>
                <w:sz w:val="24"/>
                <w:szCs w:val="24"/>
              </w:rPr>
              <w:t xml:space="preserve">Limitation</w:t>
            </w:r>
          </w:p>
        </w:tc>
        <w:tc>
          <w:tcPr>
            <w:tcW w:type="dxa" w:w="5872"/>
            <w:tcBorders>
              <w:top w:val="single" w:color="999999" w:sz="4"/>
              <w:left w:val="single" w:color="999999" w:sz="4"/>
              <w:bottom w:val="single" w:color="999999" w:sz="4"/>
              <w:right w:val="single" w:color="999999" w:sz="4"/>
            </w:tcBorders>
            <w:shd w:fill="D9E2F3" w:val="clear"/>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bCs/>
                <w:i w:val="false"/>
                <w:iCs w:val="false"/>
                <w:sz w:val="24"/>
                <w:szCs w:val="24"/>
              </w:rPr>
              <w:t xml:space="preserve">Description and Impact</w:t>
            </w:r>
          </w:p>
        </w:tc>
      </w:tr>
      <w:tr>
        <w:tc>
          <w:tcPr>
            <w:tcW w:type="dxa" w:w="32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4"/>
                <w:szCs w:val="24"/>
              </w:rPr>
              <w:t xml:space="preserve">Load and performance testing is not performed at the AI layer</w:t>
            </w:r>
          </w:p>
        </w:tc>
        <w:tc>
          <w:tcPr>
            <w:tcW w:type="dxa" w:w="5872"/>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4"/>
                <w:szCs w:val="24"/>
              </w:rPr>
              <w:t xml:space="preserve">End-to-end load testing of the chat and analytics endpoints depends on external LLM providers reached through free-tier endpoints, whose strict rate limits and high, variable latency make concurrent-load figures unrepresentative of this service's own behaviour. Load and throughput testing is therefore carried out at the backend layer, which owns the request-rate concerns; the AI layer is validated for functional correctness through the unit, service, API, and integration tests above.</w:t>
            </w:r>
          </w:p>
        </w:tc>
      </w:tr>
      <w:tr>
        <w:tc>
          <w:tcPr>
            <w:tcW w:type="dxa" w:w="32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4"/>
                <w:szCs w:val="24"/>
              </w:rPr>
              <w:t xml:space="preserve">Mocked external services</w:t>
            </w:r>
          </w:p>
        </w:tc>
        <w:tc>
          <w:tcPr>
            <w:tcW w:type="dxa" w:w="5872"/>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4"/>
                <w:szCs w:val="24"/>
              </w:rPr>
              <w:t xml:space="preserve">The default suite isolates external services with mocks, trading complete end-to-end validation for speed, determinism, and repeatability — a standard software-testing practice.</w:t>
            </w:r>
          </w:p>
        </w:tc>
      </w:tr>
      <w:tr>
        <w:tc>
          <w:tcPr>
            <w:tcW w:type="dxa" w:w="3200"/>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4"/>
                <w:szCs w:val="24"/>
              </w:rPr>
              <w:t xml:space="preserve">Integration tests are opt-in</w:t>
            </w:r>
          </w:p>
        </w:tc>
        <w:tc>
          <w:tcPr>
            <w:tcW w:type="dxa" w:w="5872"/>
            <w:tcBorders>
              <w:top w:val="single" w:color="999999" w:sz="4"/>
              <w:left w:val="single" w:color="999999" w:sz="4"/>
              <w:bottom w:val="single" w:color="999999" w:sz="4"/>
              <w:right w:val="single" w:color="999999" w:sz="4"/>
            </w:tcBorders>
            <w:tcMar>
              <w:top w:type="dxa" w:w="40"/>
              <w:left w:type="dxa" w:w="70"/>
              <w:bottom w:type="dxa" w:w="40"/>
              <w:right w:type="dxa" w:w="70"/>
            </w:tcMar>
            <w:vAlign w:val="center"/>
          </w:tcPr>
          <w:p>
            <w:pPr>
              <w:spacing w:after="0" w:line="276" w:lineRule="auto"/>
              <w:jc w:val="left"/>
            </w:pPr>
            <w:r>
              <w:rPr>
                <w:rFonts w:ascii="Times New Roman" w:cs="Times New Roman" w:eastAsia="Times New Roman" w:hAnsi="Times New Roman"/>
                <w:b w:val="false"/>
                <w:bCs w:val="false"/>
                <w:i w:val="false"/>
                <w:iCs w:val="false"/>
                <w:sz w:val="24"/>
                <w:szCs w:val="24"/>
              </w:rPr>
              <w:t xml:space="preserve">Tests that load the real embedding model are deselected by default to keep the suite fast and offline; they are run explicitly when validating the model boundary.</w:t>
            </w:r>
          </w:p>
        </w:tc>
      </w:tr>
    </w:tbl>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20" w:line="360" w:lineRule="auto"/>
      <w:jc w:val="both"/>
    </w:pPr>
    <w:rPr>
      <w:rFonts w:ascii="Times New Roman" w:cs="Times New Roman" w:eastAsia="Times New Roman" w:hAnsi="Times New Roman"/>
      <w:sz w:val="24"/>
      <w:szCs w:val="24"/>
    </w:rPr>
  </w:style>
  <w:style w:type="paragraph" w:styleId="Heading1">
    <w:name w:val="Heading 1"/>
    <w:basedOn w:val="Normal"/>
    <w:next w:val="Normal"/>
    <w:qFormat/>
    <w:pPr>
      <w:spacing w:after="240" w:before="360"/>
      <w:jc w:val="left"/>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200" w:before="280"/>
      <w:jc w:val="left"/>
      <w:outlineLvl w:val="1"/>
    </w:pPr>
    <w:rPr>
      <w:rFonts w:ascii="Times New Roman" w:cs="Times New Roman" w:eastAsia="Times New Roman" w:hAnsi="Times New Roman"/>
      <w:b/>
      <w:bCs/>
      <w:sz w:val="28"/>
      <w:szCs w:val="28"/>
    </w:rPr>
  </w:style>
  <w:style w:type="paragraph" w:styleId="Heading3">
    <w:name w:val="Heading 3"/>
    <w:basedOn w:val="Normal"/>
    <w:next w:val="Normal"/>
    <w:qFormat/>
    <w:pPr>
      <w:spacing w:after="160" w:before="240"/>
      <w:jc w:val="left"/>
      <w:outlineLvl w:val="2"/>
    </w:pPr>
    <w:rPr>
      <w:rFonts w:ascii="Times New Roman" w:cs="Times New Roman" w:eastAsia="Times New Roman" w:hAnsi="Times New Roman"/>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Testing and Evaluation</dc:title>
  <dc:creator>Replime AI</dc:creator>
  <cp:lastModifiedBy>Un-named</cp:lastModifiedBy>
  <cp:revision>1</cp:revision>
  <dcterms:created xsi:type="dcterms:W3CDTF">2026-07-02T16:15:45.322Z</dcterms:created>
  <dcterms:modified xsi:type="dcterms:W3CDTF">2026-07-02T16:15:45.323Z</dcterms:modified>
</cp:coreProperties>
</file>

<file path=docProps/custom.xml><?xml version="1.0" encoding="utf-8"?>
<Properties xmlns="http://schemas.openxmlformats.org/officeDocument/2006/custom-properties" xmlns:vt="http://schemas.openxmlformats.org/officeDocument/2006/docPropsVTypes"/>
</file>