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6: Testing and Evaluation</w:t>
      </w:r>
    </w:p>
    <w:p>
      <w:pPr>
        <w:spacing w:after="140"/>
      </w:pPr>
      <w:r>
        <w:rPr>
          <w:sz w:val="22"/>
          <w:szCs w:val="22"/>
        </w:rPr>
        <w:t xml:space="preserve">This chapter describes how the AI service — a Retrieval-Augmented Generation (RAG) backend that turns a creator's YouTube videos into a question-answering chatbot — is tested and how its performance is evaluated. The service is a FastAPI application that ingests video transcripts into a Qdrant vector store and answers user questions from retrieved transcript chunks, integrating with a Spring Boot backend over internal HTTP callbacks.</w:t>
      </w:r>
    </w:p>
    <w:p>
      <w:pPr>
        <w:pStyle w:val="Heading2"/>
      </w:pPr>
      <w:r>
        <w:t xml:space="preserve">6.1 Testing Strategy</w:t>
      </w:r>
    </w:p>
    <w:p>
      <w:pPr>
        <w:spacing w:after="140"/>
      </w:pPr>
      <w:r>
        <w:rPr>
          <w:sz w:val="22"/>
          <w:szCs w:val="22"/>
        </w:rPr>
        <w:t xml:space="preserve">Testing focuses on deterministic unit and API behaviour. Every external dependency — the Qdrant vector store, the LLM providers, the embedding model, Redis, RabbitMQ, and the HTTP client to the Spring Boot backend — is mocked in the default suite, so the tests require no network access, no API keys, and no running services. The full suite executes in roughly two seconds and is fully repeatable. Tests that require a real model or live service are marked as integration tests and are deselected by default.</w:t>
      </w:r>
    </w:p>
    <w:p>
      <w:pPr>
        <w:pStyle w:val="Heading3"/>
      </w:pPr>
      <w:r>
        <w:t xml:space="preserve">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Layer</w:t>
            </w:r>
          </w:p>
        </w:tc>
        <w:tc>
          <w:tcPr>
            <w:tcW w:type="dxa" w:w="68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Scope</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Text-processing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Language detection (Arabic vs English), Arabic normalization, transcript chunking and timestamp mapping</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Retrieval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MMR diversity reranking, Qdrant query construction and result mapping, dominant-language ratio</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Contract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Pydantic request/response schemas, the camelCase Spring Boot boundary, and per-corpus model routing</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LLM / adapter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Model-spec parsing, the cross-provider fallback chain, the prompt-injection guard, and prompt assembly</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The RAG chat pipeline, analytics clustering, message classification, ingestion stages, and channel-description regeneration</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API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FastAPI routes exercised through TestClient with FastAPI dependency overrides</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Worker tests</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RabbitMQ consumer idempotency and failure routing, plus the dead-letter-queue handler</w:t>
            </w:r>
          </w:p>
        </w:tc>
      </w:tr>
      <w:tr>
        <w:tc>
          <w:tcPr>
            <w:tcW w:type="dxa" w:w="25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Integration (optional)</w:t>
            </w:r>
          </w:p>
        </w:tc>
        <w:tc>
          <w:tcPr>
            <w:tcW w:type="dxa" w:w="68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Real embedding-model load; deselected by default and run on demand</w:t>
            </w:r>
          </w:p>
        </w:tc>
      </w:tr>
    </w:tbl>
    <w:p>
      <w:pPr>
        <w:spacing w:after="80"/>
      </w:pPr>
    </w:p>
    <w:p>
      <w:pPr>
        <w:pStyle w:val="Heading3"/>
      </w:pPr>
      <w:r>
        <w:t xml:space="preserve">Mocking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Dependency</w:t>
            </w:r>
          </w:p>
        </w:tc>
        <w:tc>
          <w:tcPr>
            <w:tcW w:type="dxa" w:w="61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Test Approach</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Qdrant client</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Mock client injected into the vector store; canned points, counts, and scroll pages</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Sparse BM25 model</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Mock model injected into the vector store</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LLM providers (OpenAI-compatible)</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AsyncMock on the client's generate method, or a patched low-level call</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Embedding model</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AsyncMock on the embedder's query/document boundary</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Redis</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Mock with async methods; the client factory is patched</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HTTP to Spring Boot</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AsyncMock on the httpx client and callback helpers</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FastAPI dependencies</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app.dependency_overrides replaces the internal-token guard</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Background tasks</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Executed by TestClient; the task entry points are mocked</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RabbitMQ message</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Fake message with a JSON body and an async-context-manager process() method</w:t>
            </w:r>
          </w:p>
        </w:tc>
      </w:tr>
    </w:tbl>
    <w:p>
      <w:pPr>
        <w:spacing w:after="140"/>
      </w:pPr>
      <w:r>
        <w:rPr>
          <w:sz w:val="22"/>
          <w:szCs w:val="22"/>
        </w:rPr>
        <w:t xml:space="preserve">In API tests, the application lifespan (embedding-model load and Qdrant/RabbitMQ warmup) is skipped by constructing the test client without its context-manager form, so route tests never trigger heavyweight startup work.</w:t>
      </w:r>
    </w:p>
    <w:p>
      <w:pPr>
        <w:pStyle w:val="Heading2"/>
      </w:pPr>
      <w:r>
        <w:t xml:space="preserve">6.2 Test Cases and Results</w:t>
      </w:r>
    </w:p>
    <w:p>
      <w:pPr>
        <w:spacing w:after="140"/>
      </w:pPr>
      <w:r>
        <w:rPr>
          <w:sz w:val="22"/>
          <w:szCs w:val="22"/>
        </w:rPr>
        <w:t xml:space="preserve">The table below lists representative test cases across the layers above. Every listed case passes in the current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3760"/>
        <w:gridCol w:w="2200"/>
        <w:gridCol w:w="1000"/>
      </w:tblGrid>
      <w:tr>
        <w:trPr>
          <w:tblHeader/>
        </w:trPr>
        <w:tc>
          <w:tcPr>
            <w:tcW w:type="dxa" w:w="115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Test ID</w:t>
            </w:r>
          </w:p>
        </w:tc>
        <w:tc>
          <w:tcPr>
            <w:tcW w:type="dxa" w:w="125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Area</w:t>
            </w:r>
          </w:p>
        </w:tc>
        <w:tc>
          <w:tcPr>
            <w:tcW w:type="dxa" w:w="37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Scenario</w:t>
            </w:r>
          </w:p>
        </w:tc>
        <w:tc>
          <w:tcPr>
            <w:tcW w:type="dxa" w:w="22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Expected Result</w:t>
            </w:r>
          </w:p>
        </w:tc>
        <w:tc>
          <w:tcPr>
            <w:tcW w:type="dxa" w:w="10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Status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TC-LANG-01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Language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Arabic-dominant text is detected by letter ratio</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Returns "ar"</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TC-LANG-02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Language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English text is detected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Returns "en"</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TC-LANG-03</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Language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 letterless query falls back to the history language</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Returns "ar" from history</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TC-NORM-01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Normalize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Alef, ya, hamza and ta-marbuta variants are folded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Canonical letters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TC-NORM-02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Normalize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Diacritics and tatweel are stripped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Bare normalized text</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TC-CHUNK-01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Chunking</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English transcript is chunked with a first timestamp</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Chunks with integer timestamp</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TC-CHUNK-02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Chunking</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 whitespace-only transcript is rejected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TranscriptError raised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TC-CHUNK-03</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Chunking</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Arabic normalization is applied during chunking</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Alef-hamza removed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TC-MMR-01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Retrieval</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High lambda favours relevance over diversity</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Relevant duplicate kept</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TC-MMR-02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Retrieval</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Low lambda favours diversity</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Diverse item selected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TC-RET-01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Retrieval</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Search maps Qdrant points to result dictionaries</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Mapped chunks with scores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TC-RET-02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Retrieval</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Delete counts then removes matching chunks</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Deleted count returned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TC-RET-03</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Retrieval</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Dominant language decided by Arabic ratio</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"ar"/"en" per threshold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TC-CFG-01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Contract</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Model routing picks the Arabic override for an Arabic corpus</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Override spec chosen</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TC-SCHEMA-01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Contract</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Blank, empty, or over-long query is rejected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422 ValidationError</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TC-SCHEMA-02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Contract</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Analytics camelCase aliases round-trip</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Parsed and camelCase output</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TC-LLM-01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Adapter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Model spec is parsed (including NVIDIA double-prefix)</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(provider, model) tuple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TC-LLM-02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Adapter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Primary model failure falls back to the next provider</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Backup model answers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TC-INT-01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Adapter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Prompt-injection pattern is blocked before the LLM</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Intent = HARMFUL</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TC-INT-02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Adapter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Unknown or failed classification defaults safely</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Intent = CONTENT_QUESTION</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TC-RAG-01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Non-content intent short-circuits retrieval</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Hardcoded reply, no sources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TC-RAG-02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Content question with no chunks returns fallback</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Fallback text, no LLM call</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TC-RAG-03</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Cited chunks deduped by video (highest score wins)</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One source per video</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TC-RAG-04</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Citations parsed (English and Arabic comma) and stripped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Clean answer plus sources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TC-ANLY-01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Empty question list returns empty analytics</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Empty response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TC-ANLY-02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LLM JSON (plain, fenced, or embedded) is parsed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Clusters and content gaps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TC-CLS-01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Exact and fuzzy class match; unmatched is skipped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Matched id or no report</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TC-ING-01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Transcript rate-limit is retryable; missing is permanent</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Correct error type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TC-ING-02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Service</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Indexing failure is retryable at the indexing stage</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RetryableIngestionError</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TC-API-01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API</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Missing or invalid internal token is rejected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401 Unauthorized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TC-API-02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API</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Valid chat request returns a response body</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200 OK</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TC-API-03</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API</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Video ingestion is accepted as a background task</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202 Accepted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TC-API-04</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API</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Health reports degraded when Qdrant is down</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status = degraded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TC-API-05</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API</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Analytics returns a camelCase body</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200 OK, camelCase keys</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TC-WRK-01</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Worker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Duplicate idempotency key is not reprocessed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Reported COMPLETED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TC-WRK-02</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Worker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Non-retryable failure is reported permanent</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FAILED, retryable = false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r>
        <w:tc>
          <w:tcPr>
            <w:tcW w:type="dxa" w:w="11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TC-WRK-03</w:t>
            </w:r>
          </w:p>
        </w:tc>
        <w:tc>
          <w:tcPr>
            <w:tcW w:type="dxa" w:w="125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Worker</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Dead-letter handler reports the video dead</w:t>
            </w:r>
          </w:p>
        </w:tc>
        <w:tc>
          <w:tcPr>
            <w:tcW w:type="dxa" w:w="2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Reported DEAD</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jc w:val="center"/>
            </w:pPr>
            <w:r>
              <w:rPr>
                <w:b/>
                <w:bCs/>
                <w:color w:val="000000"/>
                <w:sz w:val="20"/>
                <w:szCs w:val="20"/>
              </w:rPr>
              <w:t xml:space="preserve">Pass</w:t>
            </w:r>
          </w:p>
        </w:tc>
      </w:tr>
    </w:tbl>
    <w:p>
      <w:pPr>
        <w:spacing w:after="80"/>
      </w:pPr>
    </w:p>
    <w:p>
      <w:pPr>
        <w:pStyle w:val="Heading3"/>
      </w:pPr>
      <w:r>
        <w:t xml:space="preserve">Latest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Command</w:t>
            </w:r>
          </w:p>
        </w:tc>
        <w:tc>
          <w:tcPr>
            <w:tcW w:type="dxa" w:w="37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Result</w:t>
            </w:r>
          </w:p>
        </w:tc>
      </w:tr>
      <w:tr>
        <w:tc>
          <w:tcPr>
            <w:tcW w:type="dxa" w:w="56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pytest</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160 passed, 2 deselected (integration)</w:t>
            </w:r>
          </w:p>
        </w:tc>
      </w:tr>
      <w:tr>
        <w:tc>
          <w:tcPr>
            <w:tcW w:type="dxa" w:w="56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pytest --cov (core, rag, services, routes, schemas, infrastructure, workers)</w:t>
            </w:r>
          </w:p>
        </w:tc>
        <w:tc>
          <w:tcPr>
            <w:tcW w:type="dxa" w:w="3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83% line coverage</w:t>
            </w:r>
          </w:p>
        </w:tc>
      </w:tr>
    </w:tbl>
    <w:p>
      <w:pPr>
        <w:spacing w:after="140"/>
      </w:pPr>
      <w:r>
        <w:rPr>
          <w:sz w:val="22"/>
          <w:szCs w:val="22"/>
        </w:rPr>
        <w:t xml:space="preserve">Routes, schemas, prompts, the MMR reranker, and text normalization sit at or near full coverage. Coverage is intentionally lower on the input/output-bound modules that the default suite does not exercise for real: the transcript loader (live YouTube and yt-dlp) and the embedder (real model download).</w:t>
      </w:r>
    </w:p>
    <w:p>
      <w:pPr>
        <w:spacing w:after="140"/>
      </w:pPr>
      <w:r>
        <w:rPr>
          <w:sz w:val="22"/>
          <w:szCs w:val="22"/>
        </w:rPr>
        <w:t xml:space="preserve">Testing also surfaced a real defect: the prompt builder called upper() on the optional verbosity field unconditionally, so a chat request that omitted verbosity would raise an AttributeError and return HTTP 500. It was fixed to treat a missing value as empty and is now covered by a regression test.</w:t>
      </w:r>
    </w:p>
    <w:p>
      <w:pPr>
        <w:pStyle w:val="Heading2"/>
      </w:pPr>
      <w:r>
        <w:t xml:space="preserve">6.3 Performance Evaluation</w:t>
      </w:r>
    </w:p>
    <w:p>
      <w:pPr>
        <w:spacing w:after="140"/>
      </w:pPr>
      <w:r>
        <w:rPr>
          <w:sz w:val="22"/>
          <w:szCs w:val="22"/>
        </w:rPr>
        <w:t xml:space="preserve">Performance evaluation validates that the service responds within acceptable time under load. Because the RAG chat path chains an embedding lookup, a Qdrant hybrid retrieval, and a live LLM generation call, its end-to-end latency is dominated by network and provider time rather than by the service's own CPU work. The evaluation therefore separates two concerns: (1) the cost of the local, CPU-bound stages, measured directly and reproducibly; and (2) end-to-end latency under concurrency, measured with Locust against a running server.</w:t>
      </w:r>
    </w:p>
    <w:p>
      <w:pPr>
        <w:pStyle w:val="Heading3"/>
      </w:pPr>
      <w:r>
        <w:t xml:space="preserve">6.3.1 Component Micro-Benchmarks</w:t>
      </w:r>
    </w:p>
    <w:p>
      <w:pPr>
        <w:spacing w:after="140"/>
      </w:pPr>
      <w:r>
        <w:rPr>
          <w:sz w:val="22"/>
          <w:szCs w:val="22"/>
        </w:rPr>
        <w:t xml:space="preserve">The CPU-bound stages were benchmarked in isolation (no network, model, or LLM), so the results are reproducible on any machine and free to run. Each stage was warmed up and then timed over many iterations. The figures below were measured locally on Python 3.11; absolute numbers vary with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tblHeader/>
        </w:trPr>
        <w:tc>
          <w:tcPr>
            <w:tcW w:type="dxa" w:w="36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Component</w:t>
            </w:r>
          </w:p>
        </w:tc>
        <w:tc>
          <w:tcPr>
            <w:tcW w:type="dxa" w:w="19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Mean (ms)</w:t>
            </w:r>
          </w:p>
        </w:tc>
        <w:tc>
          <w:tcPr>
            <w:tcW w:type="dxa" w:w="19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p95 (ms)</w:t>
            </w:r>
          </w:p>
        </w:tc>
        <w:tc>
          <w:tcPr>
            <w:tcW w:type="dxa" w:w="19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Throughput (ops/s)</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language_detect (English, langdetect)</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3.12</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4.01</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~320</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language_detect (Arabic fast-path)</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0.020</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0.025</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~49,500</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normalize_arabic</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0.011</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0.012</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~89,000</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chunk_transcript (60 segments)</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0.63</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0.72</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~1,580</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mmr_select (20 to 5, dim 1024)</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0.70</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0.87</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~1,420</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extract_citations</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0.012</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0.012</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~84,000</w:t>
            </w:r>
          </w:p>
        </w:tc>
      </w:tr>
      <w:tr>
        <w:tc>
          <w:tcPr>
            <w:tcW w:type="dxa" w:w="36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build_messages (5 chunks)</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0.016</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0.016</w:t>
            </w:r>
          </w:p>
        </w:tc>
        <w:tc>
          <w:tcPr>
            <w:tcW w:type="dxa" w:w="19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~64,000</w:t>
            </w:r>
          </w:p>
        </w:tc>
      </w:tr>
    </w:tbl>
    <w:p>
      <w:pPr>
        <w:spacing w:after="200" w:before="80"/>
        <w:jc w:val="center"/>
      </w:pPr>
      <w:r>
        <w:rPr>
          <w:i/>
          <w:iCs/>
          <w:sz w:val="20"/>
          <w:szCs w:val="20"/>
        </w:rPr>
        <w:t xml:space="preserve">Table 6.1 — Local micro-benchmarks of the CPU-bound pipeline stages.</w:t>
      </w:r>
    </w:p>
    <w:p>
      <w:pPr>
        <w:spacing w:after="140"/>
      </w:pPr>
      <w:r>
        <w:rPr>
          <w:sz w:val="22"/>
          <w:szCs w:val="22"/>
        </w:rPr>
        <w:t xml:space="preserve">The CPU-bound glue is negligible — sub-millisecond in every stage except English language detection (about 3 ms), which is roughly 150 times slower than the Arabic ratio-based fast-path. This confirms that end-to-end chat latency is governed by the embedding lookup, the Qdrant query, and above all the LLM generation call, none of which are CPU-bound within this service.</w:t>
      </w:r>
    </w:p>
    <w:p>
      <w:pPr>
        <w:pStyle w:val="Heading3"/>
      </w:pPr>
      <w:r>
        <w:t xml:space="preserve">6.3.2 Load Testing (Locust)</w:t>
      </w:r>
    </w:p>
    <w:p>
      <w:pPr>
        <w:spacing w:after="140"/>
      </w:pPr>
      <w:r>
        <w:rPr>
          <w:sz w:val="22"/>
          <w:szCs w:val="22"/>
        </w:rPr>
        <w:t xml:space="preserve">End-to-end latency under concurrency is measured with Locust against a running server backed by a real Qdrant collection and live LLM credentials. The harness (load_tests/locustfile.py) simulates concurrent users that weight their requests six-to-two-to-one across the chat, analytics, and health endpoints, mixing English and Arabic queries so both model-routing paths are exercised. A representative run uses 20 concurrent users over 60 seconds.</w:t>
      </w:r>
    </w:p>
    <w:p>
      <w:pPr>
        <w:spacing w:after="140"/>
      </w:pPr>
      <w:r>
        <w:rPr>
          <w:sz w:val="22"/>
          <w:szCs w:val="22"/>
        </w:rPr>
        <w:t xml:space="preserve">The results below are recorded from the Locust summary of such a run. Because this evaluation requires the student's live Qdrant and LLM environment, the measured values are captured on that stack rather than fabricated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000"/>
        <w:gridCol w:w="1125"/>
        <w:gridCol w:w="1125"/>
        <w:gridCol w:w="1125"/>
        <w:gridCol w:w="1125"/>
      </w:tblGrid>
      <w:tr>
        <w:trPr>
          <w:tblHeader/>
        </w:trPr>
        <w:tc>
          <w:tcPr>
            <w:tcW w:type="dxa" w:w="27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Endpoint</w:t>
            </w:r>
          </w:p>
        </w:tc>
        <w:tc>
          <w:tcPr>
            <w:tcW w:type="dxa" w:w="11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Requests</w:t>
            </w:r>
          </w:p>
        </w:tc>
        <w:tc>
          <w:tcPr>
            <w:tcW w:type="dxa" w:w="10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Fails</w:t>
            </w:r>
          </w:p>
        </w:tc>
        <w:tc>
          <w:tcPr>
            <w:tcW w:type="dxa" w:w="1125"/>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Median</w:t>
            </w:r>
          </w:p>
        </w:tc>
        <w:tc>
          <w:tcPr>
            <w:tcW w:type="dxa" w:w="1125"/>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Average</w:t>
            </w:r>
          </w:p>
        </w:tc>
        <w:tc>
          <w:tcPr>
            <w:tcW w:type="dxa" w:w="1125"/>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p95</w:t>
            </w:r>
          </w:p>
        </w:tc>
        <w:tc>
          <w:tcPr>
            <w:tcW w:type="dxa" w:w="1125"/>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RPS</w:t>
            </w:r>
          </w:p>
        </w:tc>
      </w:tr>
      <w:tr>
        <w:tc>
          <w:tcPr>
            <w:tcW w:type="dxa" w:w="2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POST /ai/chat/process</w:t>
            </w:r>
          </w:p>
        </w:tc>
        <w:tc>
          <w:tcPr>
            <w:tcW w:type="dxa" w:w="11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r>
      <w:tr>
        <w:tc>
          <w:tcPr>
            <w:tcW w:type="dxa" w:w="2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POST /ai/analytics/process</w:t>
            </w:r>
          </w:p>
        </w:tc>
        <w:tc>
          <w:tcPr>
            <w:tcW w:type="dxa" w:w="11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r>
      <w:tr>
        <w:tc>
          <w:tcPr>
            <w:tcW w:type="dxa" w:w="2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GET /ai/health</w:t>
            </w:r>
          </w:p>
        </w:tc>
        <w:tc>
          <w:tcPr>
            <w:tcW w:type="dxa" w:w="11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r>
      <w:tr>
        <w:tc>
          <w:tcPr>
            <w:tcW w:type="dxa" w:w="27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bCs/>
                <w:color w:val="000000"/>
                <w:sz w:val="20"/>
                <w:szCs w:val="20"/>
              </w:rPr>
              <w:t xml:space="preserve">Aggregated</w:t>
            </w:r>
          </w:p>
        </w:tc>
        <w:tc>
          <w:tcPr>
            <w:tcW w:type="dxa" w:w="11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0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c>
          <w:tcPr>
            <w:tcW w:type="dxa" w:w="1125"/>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w:t>
            </w:r>
          </w:p>
        </w:tc>
      </w:tr>
    </w:tbl>
    <w:p>
      <w:pPr>
        <w:spacing w:after="200" w:before="80"/>
        <w:jc w:val="center"/>
      </w:pPr>
      <w:r>
        <w:rPr>
          <w:i/>
          <w:iCs/>
          <w:sz w:val="20"/>
          <w:szCs w:val="20"/>
        </w:rPr>
        <w:t xml:space="preserve">Table 6.2 — End-to-end Locust results (to be completed from a run against the live stack).</w:t>
      </w:r>
    </w:p>
    <w:p>
      <w:pPr>
        <w:pStyle w:val="Heading2"/>
      </w:pPr>
      <w:r>
        <w:t xml:space="preserve">6.4 Limitations</w:t>
      </w:r>
    </w:p>
    <w:p>
      <w:pPr>
        <w:spacing w:after="140"/>
      </w:pPr>
      <w:r>
        <w:rPr>
          <w:sz w:val="22"/>
          <w:szCs w:val="22"/>
        </w:rPr>
        <w:t xml:space="preserve">The following limitations relate to the testing environment and external services rather than to defects in the service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Limitation</w:t>
            </w:r>
          </w:p>
        </w:tc>
        <w:tc>
          <w:tcPr>
            <w:tcW w:type="dxa" w:w="6160"/>
            <w:tcBorders>
              <w:top w:val="single" w:color="AAAAAA" w:sz="4"/>
              <w:left w:val="single" w:color="AAAAAA" w:sz="4"/>
              <w:bottom w:val="single" w:color="AAAAAA" w:sz="4"/>
              <w:right w:val="single" w:color="AAAAAA" w:sz="4"/>
            </w:tcBorders>
            <w:shd w:fill="1F4E79" w:val="clear"/>
            <w:tcMar>
              <w:top w:type="dxa" w:w="60"/>
              <w:left w:type="dxa" w:w="110"/>
              <w:bottom w:type="dxa" w:w="60"/>
              <w:right w:type="dxa" w:w="110"/>
            </w:tcMar>
          </w:tcPr>
          <w:p>
            <w:pPr>
              <w:spacing w:after="0"/>
            </w:pPr>
            <w:r>
              <w:rPr>
                <w:b/>
                <w:bCs/>
                <w:color w:val="FFFFFF"/>
                <w:sz w:val="20"/>
                <w:szCs w:val="20"/>
              </w:rPr>
              <w:t xml:space="preserve">Description and Impact</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Mocked external services</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The default suite isolates external services with mocks, trading complete end-to-end validation for speed, determinism, and repeatability — a standard software-testing practice.</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LLM-dominated latency</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Chat response time is bounded by the external LLM provider, so it reflects provider performance and network conditions rather than this service's own code.</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Load-generation ceiling</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Concurrency in load testing is limited by the LLM provider's rate limits and by running the server and Locust on a single machine; large-scale benchmarking would need distributed load generation and a higher provider quota.</w:t>
            </w:r>
          </w:p>
        </w:tc>
      </w:tr>
      <w:tr>
        <w:tc>
          <w:tcPr>
            <w:tcW w:type="dxa" w:w="320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Integration tests are opt-in</w:t>
            </w:r>
          </w:p>
        </w:tc>
        <w:tc>
          <w:tcPr>
            <w:tcW w:type="dxa" w:w="6160"/>
            <w:tcBorders>
              <w:top w:val="single" w:color="AAAAAA" w:sz="4"/>
              <w:left w:val="single" w:color="AAAAAA" w:sz="4"/>
              <w:bottom w:val="single" w:color="AAAAAA" w:sz="4"/>
              <w:right w:val="single" w:color="AAAAAA" w:sz="4"/>
            </w:tcBorders>
            <w:tcMar>
              <w:top w:type="dxa" w:w="60"/>
              <w:left w:type="dxa" w:w="110"/>
              <w:bottom w:type="dxa" w:w="60"/>
              <w:right w:type="dxa" w:w="110"/>
            </w:tcMar>
          </w:tcPr>
          <w:p>
            <w:pPr>
              <w:spacing w:after="0"/>
            </w:pPr>
            <w:r>
              <w:rPr>
                <w:b w:val="false"/>
                <w:bCs w:val="false"/>
                <w:color w:val="000000"/>
                <w:sz w:val="20"/>
                <w:szCs w:val="20"/>
              </w:rPr>
              <w:t xml:space="preserve">Tests that load the real embedding model are deselected by default to keep the suite fast and offline; they are run explicitly when validating the model boundary.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Testing and Evaluation</dc:title>
  <dc:creator>Replime AI</dc:creator>
  <cp:lastModifiedBy>Un-named</cp:lastModifiedBy>
  <cp:revision>1</cp:revision>
  <dcterms:created xsi:type="dcterms:W3CDTF">2026-07-01T15:51:30.335Z</dcterms:created>
  <dcterms:modified xsi:type="dcterms:W3CDTF">2026-07-01T15:51:30.336Z</dcterms:modified>
</cp:coreProperties>
</file>

<file path=docProps/custom.xml><?xml version="1.0" encoding="utf-8"?>
<Properties xmlns="http://schemas.openxmlformats.org/officeDocument/2006/custom-properties" xmlns:vt="http://schemas.openxmlformats.org/officeDocument/2006/docPropsVTypes"/>
</file>