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D78"/>
          <w:sz w:val="28"/>
        </w:rPr>
        <w:t>E. Manual Guide</w:t>
      </w:r>
    </w:p>
    <w:p>
      <w:pPr>
        <w:spacing w:after="160"/>
        <w:jc w:val="center"/>
      </w:pPr>
      <w:r>
        <w:rPr>
          <w:rFonts w:ascii="Calibri" w:hAnsi="Calibri"/>
          <w:b/>
          <w:color w:val="2E74B5"/>
          <w:sz w:val="32"/>
        </w:rPr>
        <w:t>Part 1. System Build Documentation from the Source</w:t>
      </w:r>
    </w:p>
    <w:p>
      <w:r>
        <w:t>This section explains the minimum source-build configuration required to run the ReportDesk system. The build manual is limited to three essential setup areas: development program installation, database setting, and email setting.</w:t>
      </w:r>
    </w:p>
    <w:p>
      <w:pPr>
        <w:pStyle w:val="Heading1"/>
      </w:pPr>
      <w:r>
        <w:t>1. Development Program Installation</w:t>
      </w:r>
    </w:p>
    <w:p>
      <w:r>
        <w:t>ReportDesk is developed as an ASP.NET Core 8 web application. The project combines Razor Pages for the web interface, API controllers for data operations, EF Core for database access, ImageSharp for image processing, and Cloudflare R2 integration for uploaded report images.</w:t>
      </w:r>
    </w:p>
    <w:tbl>
      <w:tblPr>
        <w:tblW w:type="auto" w:w="0"/>
        <w:tblLayout w:type="fixed"/>
        <w:tblLook w:firstColumn="1" w:firstRow="1" w:lastColumn="0" w:lastRow="0" w:noHBand="0" w:noVBand="1" w:val="04A0"/>
        <w:tblCellMar>
          <w:top w:w="80" w:type="dxa"/>
          <w:start w:w="120" w:type="dxa"/>
          <w:bottom w:w="80" w:type="dxa"/>
          <w:end w:w="120" w:type="dxa"/>
        </w:tblCellMar>
      </w:tblPr>
      <w:tblGrid>
        <w:gridCol w:w="5112"/>
        <w:gridCol w:w="5112"/>
      </w:tblGrid>
      <w:tr>
        <w:tc>
          <w:tcPr>
            <w:tcW w:type="dxa" w:w="3024"/>
            <w:vAlign w:val="center"/>
            <w:tcBorders>
              <w:top w:val="single" w:sz="4" w:space="0" w:color="B7C9DA"/>
              <w:left w:val="single" w:sz="4" w:space="0" w:color="B7C9DA"/>
              <w:bottom w:val="single" w:sz="4" w:space="0" w:color="B7C9DA"/>
              <w:right w:val="single" w:sz="4" w:space="0" w:color="B7C9DA"/>
            </w:tcBorders>
            <w:shd w:fill="E8EEF5"/>
          </w:tcPr>
          <w:p>
            <w:pPr>
              <w:spacing w:after="0"/>
            </w:pPr>
            <w:r>
              <w:rPr>
                <w:rFonts w:ascii="Calibri" w:hAnsi="Calibri"/>
                <w:b/>
                <w:color w:val="1F4D78"/>
                <w:sz w:val="18"/>
              </w:rPr>
              <w:t>Program / Tool</w:t>
            </w:r>
          </w:p>
        </w:tc>
        <w:tc>
          <w:tcPr>
            <w:tcW w:type="dxa" w:w="6912"/>
            <w:vAlign w:val="center"/>
            <w:tcBorders>
              <w:top w:val="single" w:sz="4" w:space="0" w:color="B7C9DA"/>
              <w:left w:val="single" w:sz="4" w:space="0" w:color="B7C9DA"/>
              <w:bottom w:val="single" w:sz="4" w:space="0" w:color="B7C9DA"/>
              <w:right w:val="single" w:sz="4" w:space="0" w:color="B7C9DA"/>
            </w:tcBorders>
            <w:shd w:fill="E8EEF5"/>
          </w:tcPr>
          <w:p>
            <w:pPr>
              <w:spacing w:after="0"/>
            </w:pPr>
            <w:r>
              <w:rPr>
                <w:rFonts w:ascii="Calibri" w:hAnsi="Calibri"/>
                <w:b/>
                <w:color w:val="1F4D78"/>
                <w:sz w:val="18"/>
              </w:rPr>
              <w:t>Purpose</w:t>
            </w:r>
          </w:p>
        </w:tc>
      </w:tr>
      <w:tr>
        <w:tc>
          <w:tcPr>
            <w:tcW w:type="dxa" w:w="3024"/>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.NET SDK 8.0</w:t>
            </w:r>
          </w:p>
        </w:tc>
        <w:tc>
          <w:tcPr>
            <w:tcW w:type="dxa" w:w="6912"/>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Required to restore packages, build, and run the ASP.NET Core project.</w:t>
            </w:r>
          </w:p>
        </w:tc>
      </w:tr>
      <w:tr>
        <w:tc>
          <w:tcPr>
            <w:tcW w:type="dxa" w:w="3024"/>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Visual Studio 2022</w:t>
            </w:r>
          </w:p>
        </w:tc>
        <w:tc>
          <w:tcPr>
            <w:tcW w:type="dxa" w:w="6912"/>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Recommended IDE for editing, debugging, and running the solution.</w:t>
            </w:r>
          </w:p>
        </w:tc>
      </w:tr>
      <w:tr>
        <w:tc>
          <w:tcPr>
            <w:tcW w:type="dxa" w:w="3024"/>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Git</w:t>
            </w:r>
          </w:p>
        </w:tc>
        <w:tc>
          <w:tcPr>
            <w:tcW w:type="dxa" w:w="6912"/>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Used to clone and manage the source code repository.</w:t>
            </w:r>
          </w:p>
        </w:tc>
      </w:tr>
      <w:tr>
        <w:tc>
          <w:tcPr>
            <w:tcW w:type="dxa" w:w="3024"/>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PostgreSQL Client</w:t>
            </w:r>
          </w:p>
        </w:tc>
        <w:tc>
          <w:tcPr>
            <w:tcW w:type="dxa" w:w="6912"/>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Used to test and inspect the Supabase PostgreSQL database.</w:t>
            </w:r>
          </w:p>
        </w:tc>
      </w:tr>
      <w:tr>
        <w:tc>
          <w:tcPr>
            <w:tcW w:type="dxa" w:w="3024"/>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Browser</w:t>
            </w:r>
          </w:p>
        </w:tc>
        <w:tc>
          <w:tcPr>
            <w:tcW w:type="dxa" w:w="6912"/>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Used to access the Razor Pages user interface and admin pages.</w:t>
            </w:r>
          </w:p>
        </w:tc>
      </w:tr>
    </w:tbl>
    <w:p>
      <w:r>
        <w:t>After the required programs are installed, clone the repository and build the project from the source folder.</w:t>
      </w:r>
    </w:p>
    <w:p>
      <w:pPr>
        <w:spacing w:before="40" w:after="80"/>
      </w:pPr>
      <w:r>
        <w:rPr>
          <w:rFonts w:ascii="Consolas" w:hAnsi="Consolas"/>
          <w:sz w:val="16"/>
        </w:rPr>
        <w:t>git clone &lt;repository-url&gt;</w:t>
        <w:br/>
        <w:t>cd ReportDesk</w:t>
        <w:br/>
        <w:t>dotnet restore</w:t>
        <w:br/>
        <w:t>dotnet build</w:t>
        <w:br/>
        <w:t>dotnet run</w:t>
      </w:r>
    </w:p>
    <w:tbl>
      <w:tblPr>
        <w:tblW w:type="auto" w:w="0"/>
        <w:tblLook w:firstColumn="1" w:firstRow="1" w:lastColumn="0" w:lastRow="0" w:noHBand="0" w:noVBand="1" w:val="04A0"/>
        <w:tblCellMar>
          <w:top w:w="80" w:type="dxa"/>
          <w:start w:w="120" w:type="dxa"/>
          <w:bottom w:w="80" w:type="dxa"/>
          <w:end w:w="120" w:type="dxa"/>
        </w:tblCellMar>
      </w:tblPr>
      <w:tblGrid>
        <w:gridCol w:w="10224"/>
      </w:tblGrid>
      <w:tr>
        <w:tc>
          <w:tcPr>
            <w:tcW w:type="dxa" w:w="10224"/>
            <w:shd w:fill="F7FAFC"/>
            <w:tcBorders>
              <w:top w:val="single" w:sz="4" w:space="0" w:color="D6E2ED"/>
              <w:left w:val="single" w:sz="4" w:space="0" w:color="D6E2ED"/>
              <w:bottom w:val="single" w:sz="4" w:space="0" w:color="D6E2ED"/>
              <w:right w:val="single" w:sz="4" w:space="0" w:color="D6E2ED"/>
            </w:tcBorders>
          </w:tcPr>
          <w:p>
            <w:pPr>
              <w:spacing w:after="0"/>
            </w:pPr>
            <w:r>
              <w:rPr>
                <w:i/>
                <w:sz w:val="17"/>
              </w:rPr>
              <w:t>The main project file is ReportSystem.csproj and the target framework is net8.0. The application normally runs from Visual Studio or the .NET CLI using the development launch settings.</w:t>
            </w:r>
          </w:p>
        </w:tc>
      </w:tr>
    </w:tbl>
    <w:p>
      <w:pPr>
        <w:pStyle w:val="Heading1"/>
      </w:pPr>
      <w:r>
        <w:t>2. Database Setting</w:t>
      </w:r>
    </w:p>
    <w:p>
      <w:r>
        <w:t>The system uses PostgreSQL hosted in Supabase. The ASP.NET Core application connects to the database through EF Core using the SupabaseDb connection string in appsettings.json or through environment variables in production.</w:t>
      </w:r>
    </w:p>
    <w:p>
      <w:pPr>
        <w:spacing w:before="40" w:after="80"/>
      </w:pPr>
      <w:r>
        <w:rPr>
          <w:rFonts w:ascii="Consolas" w:hAnsi="Consolas"/>
          <w:sz w:val="16"/>
        </w:rPr>
        <w:t>{</w:t>
        <w:br/>
        <w:t xml:space="preserve">  "ConnectionStrings": {</w:t>
        <w:br/>
        <w:t xml:space="preserve">    "SupabaseDb": "Host=&lt;HOST&gt;;Port=5432;Database=postgres;Username=&lt;USER&gt;;Password=&lt;PASSWORD&gt;;SSL Mode=Require;Trust Server Certificate=true"</w:t>
        <w:br/>
        <w:t xml:space="preserve">  },</w:t>
        <w:br/>
        <w:t xml:space="preserve">  "Supabase": {</w:t>
        <w:br/>
        <w:t xml:space="preserve">    "Url": "&lt;SUPABASE_URL&gt;",</w:t>
        <w:br/>
        <w:t xml:space="preserve">    "Key": "&lt;SUPABASE_KEY&gt;"</w:t>
        <w:br/>
        <w:t xml:space="preserve">  }</w:t>
        <w:br/>
        <w:t>}</w:t>
      </w:r>
    </w:p>
    <w:tbl>
      <w:tblPr>
        <w:tblW w:type="auto" w:w="0"/>
        <w:tblLayout w:type="fixed"/>
        <w:tblLook w:firstColumn="1" w:firstRow="1" w:lastColumn="0" w:lastRow="0" w:noHBand="0" w:noVBand="1" w:val="04A0"/>
        <w:tblCellMar>
          <w:top w:w="80" w:type="dxa"/>
          <w:start w:w="120" w:type="dxa"/>
          <w:bottom w:w="80" w:type="dxa"/>
          <w:end w:w="120" w:type="dxa"/>
        </w:tblCellMar>
      </w:tblPr>
      <w:tblGrid>
        <w:gridCol w:w="5112"/>
        <w:gridCol w:w="5112"/>
      </w:tblGrid>
      <w:tr>
        <w:tc>
          <w:tcPr>
            <w:tcW w:type="dxa" w:w="2880"/>
            <w:vAlign w:val="center"/>
            <w:tcBorders>
              <w:top w:val="single" w:sz="4" w:space="0" w:color="B7C9DA"/>
              <w:left w:val="single" w:sz="4" w:space="0" w:color="B7C9DA"/>
              <w:bottom w:val="single" w:sz="4" w:space="0" w:color="B7C9DA"/>
              <w:right w:val="single" w:sz="4" w:space="0" w:color="B7C9DA"/>
            </w:tcBorders>
            <w:shd w:fill="E8EEF5"/>
          </w:tcPr>
          <w:p>
            <w:pPr>
              <w:spacing w:after="0"/>
            </w:pPr>
            <w:r>
              <w:rPr>
                <w:rFonts w:ascii="Calibri" w:hAnsi="Calibri"/>
                <w:b/>
                <w:color w:val="1F4D78"/>
                <w:sz w:val="18"/>
              </w:rPr>
              <w:t>Table</w:t>
            </w:r>
          </w:p>
        </w:tc>
        <w:tc>
          <w:tcPr>
            <w:tcW w:type="dxa" w:w="7056"/>
            <w:vAlign w:val="center"/>
            <w:tcBorders>
              <w:top w:val="single" w:sz="4" w:space="0" w:color="B7C9DA"/>
              <w:left w:val="single" w:sz="4" w:space="0" w:color="B7C9DA"/>
              <w:bottom w:val="single" w:sz="4" w:space="0" w:color="B7C9DA"/>
              <w:right w:val="single" w:sz="4" w:space="0" w:color="B7C9DA"/>
            </w:tcBorders>
            <w:shd w:fill="E8EEF5"/>
          </w:tcPr>
          <w:p>
            <w:pPr>
              <w:spacing w:after="0"/>
            </w:pPr>
            <w:r>
              <w:rPr>
                <w:rFonts w:ascii="Calibri" w:hAnsi="Calibri"/>
                <w:b/>
                <w:color w:val="1F4D78"/>
                <w:sz w:val="18"/>
              </w:rPr>
              <w:t>Purpose</w:t>
            </w:r>
          </w:p>
        </w:tc>
      </w:tr>
      <w:tr>
        <w:tc>
          <w:tcPr>
            <w:tcW w:type="dxa" w:w="2880"/>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MASTER_REPORT</w:t>
            </w:r>
          </w:p>
        </w:tc>
        <w:tc>
          <w:tcPr>
            <w:tcW w:type="dxa" w:w="7056"/>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Stores report submissions, report type, reporter, area, status, and machine reference.</w:t>
            </w:r>
          </w:p>
        </w:tc>
      </w:tr>
      <w:tr>
        <w:tc>
          <w:tcPr>
            <w:tcW w:type="dxa" w:w="2880"/>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MASTER_FOLLOW_UP</w:t>
            </w:r>
          </w:p>
        </w:tc>
        <w:tc>
          <w:tcPr>
            <w:tcW w:type="dxa" w:w="7056"/>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Stores follow-up action data such as responsible person, materials used, and description.</w:t>
            </w:r>
          </w:p>
        </w:tc>
      </w:tr>
      <w:tr>
        <w:tc>
          <w:tcPr>
            <w:tcW w:type="dxa" w:w="2880"/>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ATTACHMENT</w:t>
            </w:r>
          </w:p>
        </w:tc>
        <w:tc>
          <w:tcPr>
            <w:tcW w:type="dxa" w:w="7056"/>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Stores uploaded file links for reports and follow-up records.</w:t>
            </w:r>
          </w:p>
        </w:tc>
      </w:tr>
      <w:tr>
        <w:tc>
          <w:tcPr>
            <w:tcW w:type="dxa" w:w="2880"/>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MASTER_USER</w:t>
            </w:r>
          </w:p>
        </w:tc>
        <w:tc>
          <w:tcPr>
            <w:tcW w:type="dxa" w:w="7056"/>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Stores login users, roles, active status, and BCrypt password hashes.</w:t>
            </w:r>
          </w:p>
        </w:tc>
      </w:tr>
      <w:tr>
        <w:tc>
          <w:tcPr>
            <w:tcW w:type="dxa" w:w="2880"/>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MASTER_MACHINE</w:t>
            </w:r>
          </w:p>
        </w:tc>
        <w:tc>
          <w:tcPr>
            <w:tcW w:type="dxa" w:w="7056"/>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Stores machine master data used by Machine reports.</w:t>
            </w:r>
          </w:p>
        </w:tc>
      </w:tr>
    </w:tbl>
    <w:p>
      <w:r>
        <w:t>Database schema setup is handled through EF Core migrations. After the connection string is configured, run the migration update command to create or synchronize the database tables.</w:t>
      </w:r>
    </w:p>
    <w:p>
      <w:pPr>
        <w:spacing w:before="40" w:after="80"/>
      </w:pPr>
      <w:r>
        <w:rPr>
          <w:rFonts w:ascii="Consolas" w:hAnsi="Consolas"/>
          <w:sz w:val="16"/>
        </w:rPr>
        <w:t>dotnet ef database update</w:t>
      </w:r>
    </w:p>
    <w:p>
      <w:pPr>
        <w:pStyle w:val="Heading1"/>
      </w:pPr>
      <w:r>
        <w:t>3. Email Setting</w:t>
      </w:r>
    </w:p>
    <w:p>
      <w:r>
        <w:t>Email notification is implemented through the Resend email API. When a report is submitted, the system identifies active users with the role that matches the report type and sends an email notification containing the report summary and detail link.</w:t>
      </w:r>
    </w:p>
    <w:p>
      <w:pPr>
        <w:spacing w:before="40" w:after="80"/>
      </w:pPr>
      <w:r>
        <w:rPr>
          <w:rFonts w:ascii="Consolas" w:hAnsi="Consolas"/>
          <w:sz w:val="16"/>
        </w:rPr>
        <w:t>{</w:t>
        <w:br/>
        <w:t xml:space="preserve">  "Email": {</w:t>
        <w:br/>
        <w:t xml:space="preserve">    "Resend": { "ApiKey": "&lt;RESEND_API_KEY&gt;" },</w:t>
        <w:br/>
        <w:t xml:space="preserve">    "From": {</w:t>
        <w:br/>
        <w:t xml:space="preserve">      "Address": "noreply@&lt;domain&gt;",</w:t>
        <w:br/>
        <w:t xml:space="preserve">      "Name": "Report Desk"</w:t>
        <w:br/>
        <w:t xml:space="preserve">    }</w:t>
        <w:br/>
        <w:t xml:space="preserve">  }</w:t>
        <w:br/>
        <w:t>}</w:t>
      </w:r>
    </w:p>
    <w:tbl>
      <w:tblPr>
        <w:tblW w:type="auto" w:w="0"/>
        <w:tblLayout w:type="fixed"/>
        <w:tblLook w:firstColumn="1" w:firstRow="1" w:lastColumn="0" w:lastRow="0" w:noHBand="0" w:noVBand="1" w:val="04A0"/>
        <w:tblCellMar>
          <w:top w:w="80" w:type="dxa"/>
          <w:start w:w="120" w:type="dxa"/>
          <w:bottom w:w="80" w:type="dxa"/>
          <w:end w:w="120" w:type="dxa"/>
        </w:tblCellMar>
      </w:tblPr>
      <w:tblGrid>
        <w:gridCol w:w="5112"/>
        <w:gridCol w:w="5112"/>
      </w:tblGrid>
      <w:tr>
        <w:tc>
          <w:tcPr>
            <w:tcW w:type="dxa" w:w="2880"/>
            <w:vAlign w:val="center"/>
            <w:tcBorders>
              <w:top w:val="single" w:sz="4" w:space="0" w:color="B7C9DA"/>
              <w:left w:val="single" w:sz="4" w:space="0" w:color="B7C9DA"/>
              <w:bottom w:val="single" w:sz="4" w:space="0" w:color="B7C9DA"/>
              <w:right w:val="single" w:sz="4" w:space="0" w:color="B7C9DA"/>
            </w:tcBorders>
            <w:shd w:fill="E8EEF5"/>
          </w:tcPr>
          <w:p>
            <w:pPr>
              <w:spacing w:after="0"/>
            </w:pPr>
            <w:r>
              <w:rPr>
                <w:rFonts w:ascii="Calibri" w:hAnsi="Calibri"/>
                <w:b/>
                <w:color w:val="1F4D78"/>
                <w:sz w:val="18"/>
              </w:rPr>
              <w:t>Email Item</w:t>
            </w:r>
          </w:p>
        </w:tc>
        <w:tc>
          <w:tcPr>
            <w:tcW w:type="dxa" w:w="7056"/>
            <w:vAlign w:val="center"/>
            <w:tcBorders>
              <w:top w:val="single" w:sz="4" w:space="0" w:color="B7C9DA"/>
              <w:left w:val="single" w:sz="4" w:space="0" w:color="B7C9DA"/>
              <w:bottom w:val="single" w:sz="4" w:space="0" w:color="B7C9DA"/>
              <w:right w:val="single" w:sz="4" w:space="0" w:color="B7C9DA"/>
            </w:tcBorders>
            <w:shd w:fill="E8EEF5"/>
          </w:tcPr>
          <w:p>
            <w:pPr>
              <w:spacing w:after="0"/>
            </w:pPr>
            <w:r>
              <w:rPr>
                <w:rFonts w:ascii="Calibri" w:hAnsi="Calibri"/>
                <w:b/>
                <w:color w:val="1F4D78"/>
                <w:sz w:val="18"/>
              </w:rPr>
              <w:t>Setting / Behavior</w:t>
            </w:r>
          </w:p>
        </w:tc>
      </w:tr>
      <w:tr>
        <w:tc>
          <w:tcPr>
            <w:tcW w:type="dxa" w:w="2880"/>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API Provider</w:t>
            </w:r>
          </w:p>
        </w:tc>
        <w:tc>
          <w:tcPr>
            <w:tcW w:type="dxa" w:w="7056"/>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Resend API endpoint is used by EmailService.</w:t>
            </w:r>
          </w:p>
        </w:tc>
      </w:tr>
      <w:tr>
        <w:tc>
          <w:tcPr>
            <w:tcW w:type="dxa" w:w="2880"/>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Sender</w:t>
            </w:r>
          </w:p>
        </w:tc>
        <w:tc>
          <w:tcPr>
            <w:tcW w:type="dxa" w:w="7056"/>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Configured through Email:From:Address and Email:From:Name.</w:t>
            </w:r>
          </w:p>
        </w:tc>
      </w:tr>
      <w:tr>
        <w:tc>
          <w:tcPr>
            <w:tcW w:type="dxa" w:w="2880"/>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Recipients</w:t>
            </w:r>
          </w:p>
        </w:tc>
        <w:tc>
          <w:tcPr>
            <w:tcW w:type="dxa" w:w="7056"/>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Active users are selected from MASTER_USER based on report role.</w:t>
            </w:r>
          </w:p>
        </w:tc>
      </w:tr>
      <w:tr>
        <w:tc>
          <w:tcPr>
            <w:tcW w:type="dxa" w:w="2880"/>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Triggers</w:t>
            </w:r>
          </w:p>
        </w:tc>
        <w:tc>
          <w:tcPr>
            <w:tcW w:type="dxa" w:w="7056"/>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Report submission and forgot-password workflow.</w:t>
            </w:r>
          </w:p>
        </w:tc>
      </w:tr>
      <w:tr>
        <w:tc>
          <w:tcPr>
            <w:tcW w:type="dxa" w:w="2880"/>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Failure Handling</w:t>
            </w:r>
          </w:p>
        </w:tc>
        <w:tc>
          <w:tcPr>
            <w:tcW w:type="dxa" w:w="7056"/>
            <w:vAlign w:val="center"/>
            <w:tcBorders>
              <w:top w:val="single" w:sz="4" w:space="0" w:color="B7C9DA"/>
              <w:left w:val="single" w:sz="4" w:space="0" w:color="B7C9DA"/>
              <w:bottom w:val="single" w:sz="4" w:space="0" w:color="B7C9DA"/>
              <w:right w:val="single" w:sz="4" w:space="0" w:color="B7C9DA"/>
            </w:tcBorders>
          </w:tcPr>
          <w:p>
            <w:pPr>
              <w:spacing w:after="0"/>
            </w:pPr>
            <w:r>
              <w:rPr>
                <w:rFonts w:ascii="Calibri" w:hAnsi="Calibri"/>
                <w:sz w:val="18"/>
              </w:rPr>
              <w:t>Email failures are caught and logged so report submission does not crash.</w:t>
            </w:r>
          </w:p>
        </w:tc>
      </w:tr>
    </w:tbl>
    <w:tbl>
      <w:tblPr>
        <w:tblW w:type="auto" w:w="0"/>
        <w:tblLook w:firstColumn="1" w:firstRow="1" w:lastColumn="0" w:lastRow="0" w:noHBand="0" w:noVBand="1" w:val="04A0"/>
        <w:tblCellMar>
          <w:top w:w="80" w:type="dxa"/>
          <w:start w:w="120" w:type="dxa"/>
          <w:bottom w:w="80" w:type="dxa"/>
          <w:end w:w="120" w:type="dxa"/>
        </w:tblCellMar>
      </w:tblPr>
      <w:tblGrid>
        <w:gridCol w:w="10224"/>
      </w:tblGrid>
      <w:tr>
        <w:tc>
          <w:tcPr>
            <w:tcW w:type="dxa" w:w="10224"/>
            <w:shd w:fill="F7FAFC"/>
            <w:tcBorders>
              <w:top w:val="single" w:sz="4" w:space="0" w:color="D6E2ED"/>
              <w:left w:val="single" w:sz="4" w:space="0" w:color="D6E2ED"/>
              <w:bottom w:val="single" w:sz="4" w:space="0" w:color="D6E2ED"/>
              <w:right w:val="single" w:sz="4" w:space="0" w:color="D6E2ED"/>
            </w:tcBorders>
          </w:tcPr>
          <w:p>
            <w:pPr>
              <w:spacing w:after="0"/>
            </w:pPr>
            <w:r>
              <w:rPr>
                <w:i/>
                <w:sz w:val="17"/>
              </w:rPr>
              <w:t>All database, Supabase, Cloudflare R2, and email credentials must be stored as protected configuration values. Do not commit real passwords, API keys, or access keys to the source repository.</w:t>
            </w:r>
          </w:p>
        </w:tc>
      </w:tr>
    </w:tbl>
    <w:p>
      <w:pPr>
        <w:pStyle w:val="Heading1"/>
      </w:pPr>
      <w:r>
        <w:t>Conclusion</w:t>
      </w:r>
    </w:p>
    <w:p>
      <w:r>
        <w:t>These three settings are sufficient for the build documentation scope of Chapter E Manual Guide Part 1. Once the development tools are installed, the Supabase database is configured, and the email provider is connected, the ReportDesk source can be restored, built, and prepared for execution.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6"/>
      </w:rPr>
      <w:t>Chapter E - Manual Guide, Part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F4D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