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182E16" w14:textId="77777777" w:rsidR="00361E16" w:rsidRPr="00361E16" w:rsidRDefault="00361E16" w:rsidP="00361E16">
      <w:pPr>
        <w:rPr>
          <w:b/>
          <w:bCs/>
          <w:i/>
          <w:iCs/>
        </w:rPr>
      </w:pPr>
      <w:r w:rsidRPr="00361E16">
        <w:rPr>
          <w:b/>
          <w:bCs/>
          <w:i/>
          <w:iCs/>
        </w:rPr>
        <w:t>Title: Genocide or Asymmetric Warfare? Legal and Political Perspectives on the Gaza Conflict</w:t>
      </w:r>
    </w:p>
    <w:p w14:paraId="24B2D6E1" w14:textId="77777777" w:rsidR="004B7C48" w:rsidRDefault="00C455EB" w:rsidP="00C455EB">
      <w:r w:rsidRPr="00C455EB">
        <w:rPr>
          <w:b/>
          <w:bCs/>
          <w:i/>
          <w:iCs/>
        </w:rPr>
        <w:t>Abstract</w:t>
      </w:r>
      <w:r>
        <w:t xml:space="preserve"> </w:t>
      </w:r>
    </w:p>
    <w:p w14:paraId="5433E414" w14:textId="3D709FE5" w:rsidR="00C455EB" w:rsidRDefault="004B7C48" w:rsidP="00C455EB">
      <w:r>
        <w:t xml:space="preserve"> </w:t>
      </w:r>
      <w:r w:rsidR="00C455EB">
        <w:t xml:space="preserve">This study critically examines whether the ongoing Gaza conflict should be classified under international law as genocide or as a case of asymmetric warfare. The conflict, marked by repeated military engagements between the State of Israel and non-state actors such as Hamas, presents complex legal and political challenges for interpretation under international humanitarian and criminal law. Through a multidisciplinary approach combining doctrinal legal analysis and political discourse evaluation, the paper investigates whether the acts committed in Gaza </w:t>
      </w:r>
      <w:proofErr w:type="spellStart"/>
      <w:r w:rsidR="00C455EB">
        <w:t>fulfill</w:t>
      </w:r>
      <w:proofErr w:type="spellEnd"/>
      <w:r w:rsidR="00C455EB">
        <w:t xml:space="preserve"> the legal criteria for genocide under the 1948 Genocide Convention or whether they reflect the strategic and structural characteristics of asymmetric warfare.</w:t>
      </w:r>
    </w:p>
    <w:p w14:paraId="52C44ED9" w14:textId="1100AAEF" w:rsidR="00C455EB" w:rsidRDefault="00C455EB" w:rsidP="00C455EB">
      <w:r>
        <w:t xml:space="preserve">Key legal documents, such as the Geneva Conventions, UN resolutions, and reports from international human rights organizations, are </w:t>
      </w:r>
      <w:proofErr w:type="spellStart"/>
      <w:r>
        <w:t>analyzed</w:t>
      </w:r>
      <w:proofErr w:type="spellEnd"/>
      <w:r>
        <w:t xml:space="preserve"> alongside political narratives and media coverage to assess both the legality and the framing of the conflict. The findings reveal a consistent pattern of disproportionate use of force and high civilian casualties in Gaza, raising serious concerns about potential war crimes and crimes against humanity. However, establishing genocidal intent—a key requirement for a genocide classification—remains legally inconclusive.</w:t>
      </w:r>
    </w:p>
    <w:p w14:paraId="0A7D3919" w14:textId="61AA52D0" w:rsidR="00AD4A65" w:rsidRDefault="00C455EB">
      <w:r>
        <w:t>This paper argues for a more nuanced understanding of such modern conflicts, emphasizing the need to adapt international legal frameworks to better reflect asymmetrical realities. It also calls for greater international accountability and legal reform to address the persistent gaps in enforcement. By unpacking the intersection of law, politics, and warfare, this study contributes to the broader discourse on justice, legitimacy, and the future of international humanitarian norms.</w:t>
      </w:r>
    </w:p>
    <w:p w14:paraId="7E006569" w14:textId="5E37DF8C" w:rsidR="00AD4A65" w:rsidRDefault="00AD4A65">
      <w:r w:rsidRPr="00AD4A65">
        <w:rPr>
          <w:b/>
          <w:bCs/>
          <w:i/>
          <w:iCs/>
        </w:rPr>
        <w:t>Keywords</w:t>
      </w:r>
      <w:r w:rsidRPr="00AD4A65">
        <w:t>: Gaza conflict, genocide, asymmetric warfare, international law, human rights, war crimes</w:t>
      </w:r>
    </w:p>
    <w:p w14:paraId="6A33B489" w14:textId="76A0C325" w:rsidR="00902114" w:rsidRDefault="00902114" w:rsidP="00CC7C7B">
      <w:pPr>
        <w:rPr>
          <w:b/>
          <w:bCs/>
          <w:i/>
          <w:iCs/>
        </w:rPr>
      </w:pPr>
      <w:r>
        <w:rPr>
          <w:b/>
          <w:bCs/>
          <w:i/>
          <w:iCs/>
        </w:rPr>
        <w:t xml:space="preserve">Introduction </w:t>
      </w:r>
    </w:p>
    <w:p w14:paraId="7A5B54C8" w14:textId="106B4C2B" w:rsidR="00BF5336" w:rsidRPr="00BF5336" w:rsidRDefault="00BF5336" w:rsidP="00BF5336">
      <w:r w:rsidRPr="00BF5336">
        <w:t>The Gaza conflict stands as one of the most polarizing and protracted crises in international affairs, raising urgent legal, humanitarian, and political questions. At the heart of the contemporary debate lies a complex and controversial inquiry: should the military operations and humanitarian consequences in Gaza be classified as genocide, or are they better understood within the framework of asymmetric warfare? This paper examines the conflict through the intersecting lenses of international law and political theory to address this critical question.</w:t>
      </w:r>
    </w:p>
    <w:p w14:paraId="050AF8D5" w14:textId="7F55CC7B" w:rsidR="00BF5336" w:rsidRPr="00BF5336" w:rsidRDefault="00BF5336" w:rsidP="00BF5336">
      <w:r w:rsidRPr="00BF5336">
        <w:t xml:space="preserve">Since Hamas assumed control of the Gaza Strip in 2007, Israel has launched multiple military operations, including "Operation Cast Lead" (2008–2009), "Operation Protective Edge" (2014), and the more recent escalations in 2021 and 2023. These offensives have drawn intense scrutiny regarding the legality of military conduct, particularly concerning proportionality, targeting, and civilian protection under international humanitarian law (IHL). Repeated civilian casualties and the destruction of essential infrastructure have </w:t>
      </w:r>
      <w:proofErr w:type="spellStart"/>
      <w:r w:rsidRPr="00BF5336">
        <w:t>fueled</w:t>
      </w:r>
      <w:proofErr w:type="spellEnd"/>
      <w:r w:rsidRPr="00BF5336">
        <w:t xml:space="preserve"> accusations of war crimes and prompted debates about whether Israel’s actions meet the legal threshold for genocide.</w:t>
      </w:r>
    </w:p>
    <w:p w14:paraId="2EABB6D4" w14:textId="19929A19" w:rsidR="00BF5336" w:rsidRPr="00BF5336" w:rsidRDefault="00BF5336" w:rsidP="00BF5336">
      <w:r w:rsidRPr="00BF5336">
        <w:t>Under the 1948 Genocide Convention, genocide requires proof of specific intent—</w:t>
      </w:r>
      <w:proofErr w:type="spellStart"/>
      <w:r w:rsidRPr="00BF5336">
        <w:t>dolus</w:t>
      </w:r>
      <w:proofErr w:type="spellEnd"/>
      <w:r w:rsidRPr="00BF5336">
        <w:t xml:space="preserve"> </w:t>
      </w:r>
      <w:proofErr w:type="spellStart"/>
      <w:r w:rsidRPr="00BF5336">
        <w:t>specialis</w:t>
      </w:r>
      <w:proofErr w:type="spellEnd"/>
      <w:r w:rsidRPr="00BF5336">
        <w:t>—to destroy, in whole or in part, a protected group. This legal bar is intentionally high and distinct from other serious crimes like war crimes or crimes against humanity. As such, the application of the genocide label carries significant legal and political weight.</w:t>
      </w:r>
    </w:p>
    <w:p w14:paraId="4D9C9404" w14:textId="282E7DE3" w:rsidR="00BF5336" w:rsidRPr="00BF5336" w:rsidRDefault="00BF5336" w:rsidP="00BF5336">
      <w:r w:rsidRPr="00BF5336">
        <w:t>Conversely, asymmetric warfare describes conflicts between state and non-state actors with unequal power, often involving irregular tactics and civilian entanglement. While this framework does not exempt parties from their legal obligations under IHL, it complicates legal assessments of accountability and proportionality.</w:t>
      </w:r>
    </w:p>
    <w:p w14:paraId="630A6C60" w14:textId="1AA027E9" w:rsidR="00BF5336" w:rsidRPr="00BF5336" w:rsidRDefault="00BF5336" w:rsidP="00BF5336">
      <w:r w:rsidRPr="00BF5336">
        <w:t>This study poses a central research question: Can the Gaza conflict be legally characterized as genocide, or is it more appropriately viewed as asymmetric warfare? Employing a multidisciplinary methodology that combines doctrinal legal analysis with political theory and case comparisons, the study draws on instruments like the Geneva Conventions, the Rome Statute, and customary international law.</w:t>
      </w:r>
    </w:p>
    <w:p w14:paraId="1A3777AB" w14:textId="4A3F9ACB" w:rsidR="003E0777" w:rsidRPr="0086308D" w:rsidRDefault="00BF5336" w:rsidP="00CC7C7B">
      <w:r w:rsidRPr="00BF5336">
        <w:t>Ultimately, this analysis seeks to clarify how legal categories influence international responses, justice mechanisms, and broader normative understandings of conflict. It also reflects on how the Gaza case shapes the evolving landscape of international law in asymmetric, high-intensity warfare.</w:t>
      </w:r>
    </w:p>
    <w:p w14:paraId="7C226479" w14:textId="7BEA4289" w:rsidR="000353F9" w:rsidRPr="0086308D" w:rsidRDefault="00CC7C7B" w:rsidP="000353F9">
      <w:pPr>
        <w:rPr>
          <w:b/>
          <w:bCs/>
          <w:i/>
          <w:iCs/>
        </w:rPr>
      </w:pPr>
      <w:r w:rsidRPr="000E644E">
        <w:rPr>
          <w:b/>
          <w:bCs/>
          <w:i/>
          <w:iCs/>
        </w:rPr>
        <w:t xml:space="preserve">Background of the Study </w:t>
      </w:r>
    </w:p>
    <w:p w14:paraId="0B54221B" w14:textId="052241A1" w:rsidR="000353F9" w:rsidRDefault="000353F9" w:rsidP="000353F9">
      <w:r>
        <w:t>The Gaza conflict remains one of the most entrenched and polarizing crises in modern geopolitics. Rooted in the broader Israeli–Palestinian conflict, it presents profound challenges to legal classification under international law. To assess whether the ongoing violence constitutes genocide or is more appropriately understood as asymmetric warfare, it is essential to examine the historical trajectory, legal complexities, and political dynamics shaping the conflict.</w:t>
      </w:r>
    </w:p>
    <w:p w14:paraId="4CE674BC" w14:textId="0E3C75D6" w:rsidR="000353F9" w:rsidRPr="0086308D" w:rsidRDefault="000353F9" w:rsidP="000353F9">
      <w:pPr>
        <w:rPr>
          <w:b/>
          <w:bCs/>
          <w:i/>
          <w:iCs/>
        </w:rPr>
      </w:pPr>
      <w:r w:rsidRPr="0086308D">
        <w:rPr>
          <w:b/>
          <w:bCs/>
          <w:i/>
          <w:iCs/>
        </w:rPr>
        <w:t>Historical Overview: Conflict and Continuity</w:t>
      </w:r>
    </w:p>
    <w:p w14:paraId="2024B5E1" w14:textId="40815CFF" w:rsidR="000353F9" w:rsidRDefault="000353F9" w:rsidP="000353F9">
      <w:r>
        <w:t>Since the establishment of Israel in 1948, the region has been marked by recurring violence, displacement, and contested claims to territory. The Nakba, or “catastrophe,” saw the displacement of over 700,000 Palestinians, with around 200,000 settling in the Gaza Strip, laying the demographic foundation of a densely populated and volatile enclave.</w:t>
      </w:r>
    </w:p>
    <w:p w14:paraId="4562F0CF" w14:textId="5FAC8A38" w:rsidR="000353F9" w:rsidRDefault="000353F9" w:rsidP="000353F9">
      <w:r>
        <w:t>Between 1948 and 1967, Gaza was administered by Egypt. During this period, Israel engaged in multiple wars involving Gaza—the 1948 Arab–Israeli War, the 1956 Suez Crisis (in which it briefly occupied Gaza), and the 1967 Six-Day War, after which it began a long-term occupation. The 1956 occupation reportedly led to the killing or detention of approximately 1% of Gaza’s population, foreshadowing future military patterns.</w:t>
      </w:r>
    </w:p>
    <w:p w14:paraId="139A9CF0" w14:textId="191BEF00" w:rsidR="000353F9" w:rsidRDefault="000353F9" w:rsidP="000353F9">
      <w:r>
        <w:t>Palestinian resistance escalated during the First Intifada (1987–1993), a grassroots uprising against Israeli occupation. The Oslo Accords of 1993 promised temporary autonomy but failed to resolve core issues, leading to the Second Intifada (2000–2005). In 2005, Israel unilaterally withdrew settlements and troops from Gaza but maintained control over its borders, airspace, and maritime access—conditions widely regarded as amounting to “effective occupation.”</w:t>
      </w:r>
    </w:p>
    <w:p w14:paraId="21DD123A" w14:textId="793F8186" w:rsidR="000353F9" w:rsidRDefault="000353F9" w:rsidP="000353F9">
      <w:r>
        <w:t>In 2006, Hamas won Palestinian legislative elections, and by 2007 had seized full control of Gaza after a violent rift with Fatah. Israel, supported by Egypt, imposed a land, sea, and air blockade, severely limiting movement and trade. This blockade—seen by many as collective punishment—has deepened Gaza’s humanitarian crisis and exacerbated tensions.</w:t>
      </w:r>
    </w:p>
    <w:p w14:paraId="3910F9C9" w14:textId="77777777" w:rsidR="000353F9" w:rsidRPr="0086308D" w:rsidRDefault="000353F9" w:rsidP="000353F9">
      <w:pPr>
        <w:rPr>
          <w:b/>
          <w:bCs/>
          <w:i/>
          <w:iCs/>
        </w:rPr>
      </w:pPr>
      <w:r w:rsidRPr="0086308D">
        <w:rPr>
          <w:b/>
          <w:bCs/>
          <w:i/>
          <w:iCs/>
        </w:rPr>
        <w:t>Major Military Escalations</w:t>
      </w:r>
    </w:p>
    <w:p w14:paraId="49FA42C0" w14:textId="44F57501" w:rsidR="000353F9" w:rsidRDefault="000353F9" w:rsidP="000353F9">
      <w:r>
        <w:t>Since 2008, Gaza has experienced repeated Israeli military operations, each resulting in high civilian casualties and extensive infrastructure damage:</w:t>
      </w:r>
    </w:p>
    <w:p w14:paraId="3C4AD095" w14:textId="6DBD7AC6" w:rsidR="000353F9" w:rsidRDefault="000353F9" w:rsidP="000353F9">
      <w:pPr>
        <w:pStyle w:val="ListParagraph"/>
        <w:numPr>
          <w:ilvl w:val="0"/>
          <w:numId w:val="10"/>
        </w:numPr>
      </w:pPr>
      <w:r w:rsidRPr="00F71B28">
        <w:rPr>
          <w:b/>
          <w:bCs/>
          <w:i/>
          <w:iCs/>
        </w:rPr>
        <w:t>Operation Cast Lead (2008–2009):</w:t>
      </w:r>
      <w:r>
        <w:t xml:space="preserve"> Triggered by rocket fire from Gaza, this three-week assault killed over 1,400 Palestinians and 13 Israelis. UN and NGO reports accused Israel of using disproportionate force and targeting civilian areas.</w:t>
      </w:r>
    </w:p>
    <w:p w14:paraId="6F20455A" w14:textId="3ED5EC06" w:rsidR="000353F9" w:rsidRDefault="000353F9" w:rsidP="00F71B28">
      <w:pPr>
        <w:pStyle w:val="ListParagraph"/>
        <w:numPr>
          <w:ilvl w:val="0"/>
          <w:numId w:val="10"/>
        </w:numPr>
      </w:pPr>
      <w:r w:rsidRPr="00F71B28">
        <w:rPr>
          <w:b/>
          <w:bCs/>
          <w:i/>
          <w:iCs/>
        </w:rPr>
        <w:t>Operation Pillar of Defense (2012):</w:t>
      </w:r>
      <w:r>
        <w:t xml:space="preserve"> A week-long campaign following the killing of a Hamas leader, resulting in 160 Palestinian and six Israeli deaths.</w:t>
      </w:r>
    </w:p>
    <w:p w14:paraId="70D3BE6B" w14:textId="6D6E62EC" w:rsidR="000353F9" w:rsidRDefault="000353F9" w:rsidP="00F71B28">
      <w:pPr>
        <w:pStyle w:val="ListParagraph"/>
        <w:numPr>
          <w:ilvl w:val="0"/>
          <w:numId w:val="10"/>
        </w:numPr>
      </w:pPr>
      <w:r w:rsidRPr="00F71B28">
        <w:rPr>
          <w:b/>
          <w:bCs/>
          <w:i/>
          <w:iCs/>
        </w:rPr>
        <w:t xml:space="preserve">Operation Protective Edge (2014): </w:t>
      </w:r>
      <w:r>
        <w:t>The deadliest escalation to date, leaving over 2,200 Palestinians and 73 Israelis dead. Significant parts of Gaza’s infrastructure were destroyed, drawing widespread international condemnation.</w:t>
      </w:r>
    </w:p>
    <w:p w14:paraId="6F2A8110" w14:textId="00333C09" w:rsidR="000353F9" w:rsidRDefault="000353F9" w:rsidP="00F71B28">
      <w:pPr>
        <w:pStyle w:val="ListParagraph"/>
        <w:numPr>
          <w:ilvl w:val="0"/>
          <w:numId w:val="10"/>
        </w:numPr>
      </w:pPr>
      <w:r w:rsidRPr="00F71B28">
        <w:rPr>
          <w:b/>
          <w:bCs/>
          <w:i/>
          <w:iCs/>
        </w:rPr>
        <w:t>Great March of Return (2018–2019):</w:t>
      </w:r>
      <w:r>
        <w:t xml:space="preserve"> Weekly protests at the Gaza–Israel border were met with live fire from Israeli forces, killing hundreds and injuring thousands.</w:t>
      </w:r>
    </w:p>
    <w:p w14:paraId="20C1E980" w14:textId="4892E2B6" w:rsidR="000353F9" w:rsidRDefault="000353F9" w:rsidP="00F71B28">
      <w:pPr>
        <w:pStyle w:val="ListParagraph"/>
        <w:numPr>
          <w:ilvl w:val="0"/>
          <w:numId w:val="10"/>
        </w:numPr>
      </w:pPr>
      <w:r w:rsidRPr="00F71B28">
        <w:rPr>
          <w:b/>
          <w:bCs/>
          <w:i/>
          <w:iCs/>
        </w:rPr>
        <w:t xml:space="preserve">May 2021 Violence: </w:t>
      </w:r>
      <w:r>
        <w:t>A renewed outbreak resulted in 256 Palestinian and 15 Israeli deaths.</w:t>
      </w:r>
    </w:p>
    <w:p w14:paraId="61B7ACEE" w14:textId="067FE2E0" w:rsidR="000353F9" w:rsidRDefault="000353F9" w:rsidP="000353F9">
      <w:pPr>
        <w:pStyle w:val="ListParagraph"/>
        <w:numPr>
          <w:ilvl w:val="0"/>
          <w:numId w:val="10"/>
        </w:numPr>
      </w:pPr>
      <w:r w:rsidRPr="00F71B28">
        <w:rPr>
          <w:b/>
          <w:bCs/>
          <w:i/>
          <w:iCs/>
        </w:rPr>
        <w:t>October 2023 Hamas Attack and Retaliation:</w:t>
      </w:r>
      <w:r>
        <w:t xml:space="preserve"> A surprise Hamas assault killed 1,143 Israelis, mostly civilians. Israel responded with an extensive bombing campaign and ground invasion. By mid-2025, over 50,000 Palestinians had died, making it the deadliest episode in the history of the conflict.</w:t>
      </w:r>
    </w:p>
    <w:p w14:paraId="0BD3F4E2" w14:textId="6B2310D4" w:rsidR="000353F9" w:rsidRPr="00D770F1" w:rsidRDefault="000353F9" w:rsidP="000353F9">
      <w:pPr>
        <w:rPr>
          <w:b/>
          <w:bCs/>
          <w:i/>
          <w:iCs/>
        </w:rPr>
      </w:pPr>
      <w:r w:rsidRPr="00EF2744">
        <w:rPr>
          <w:b/>
          <w:bCs/>
          <w:i/>
          <w:iCs/>
        </w:rPr>
        <w:t>Legal and Political Implications</w:t>
      </w:r>
      <w:r w:rsidR="003450FE">
        <w:rPr>
          <w:b/>
          <w:bCs/>
          <w:i/>
          <w:iCs/>
        </w:rPr>
        <w:t xml:space="preserve">:  </w:t>
      </w:r>
      <w:r>
        <w:t>The scale and frequency of violence have prompted competing legal interpretations. Hamas has been condemned for firing rockets indiscriminately at Israeli civilians and embedding operations in densely populated areas, contributing to civilian harm. Israel argues that its actions are defensive and consistent with international law.</w:t>
      </w:r>
      <w:r w:rsidR="00976FA5">
        <w:t xml:space="preserve"> </w:t>
      </w:r>
      <w:r>
        <w:t>Critics, however, point to the scale of destruction and the extensive use of air and ground force in urban settings as indicative of disproportionate conduct. These debates have crystallized into two primary legal framings</w:t>
      </w:r>
      <w:r w:rsidR="003450FE">
        <w:t xml:space="preserve"> </w:t>
      </w:r>
      <w:r>
        <w:t>Some scholars and international bodies suggest that Israel’s actions meet the threshold for genocide under the 1948 Convention, particularly in light of inflammatory rhetoric by state officials, systematic civilian harm, and policies that collectively target Palestinians as a group.</w:t>
      </w:r>
      <w:r w:rsidR="00976FA5">
        <w:t xml:space="preserve"> </w:t>
      </w:r>
      <w:r>
        <w:t>Others frame the conflict as a textbook case of asymmetric warfare, with a powerful state actor confronting a non-state entity operating from civilian zones. This view maintains that while grave violations of IHL may occur, they do not automatically satisfy the specific intent required for a genocide classification.</w:t>
      </w:r>
    </w:p>
    <w:p w14:paraId="25028846" w14:textId="19F5E2F7" w:rsidR="00DD2597" w:rsidRDefault="000353F9">
      <w:r w:rsidRPr="00D770F1">
        <w:rPr>
          <w:b/>
          <w:bCs/>
          <w:i/>
          <w:iCs/>
        </w:rPr>
        <w:t>Accountability Mechanisms</w:t>
      </w:r>
      <w:r w:rsidR="00D770F1">
        <w:rPr>
          <w:b/>
          <w:bCs/>
          <w:i/>
          <w:iCs/>
        </w:rPr>
        <w:t xml:space="preserve">:  </w:t>
      </w:r>
      <w:r>
        <w:t>The quest for accountability has faced numerous obstacles. The International Criminal Court (ICC) has opened investigations into alleged war crimes in the Palestinian territories, including Gaza. However, legal efforts are impeded by jurisdictional disputes, Israel’s non-membership in the ICC, geopolitical resistance, and a lack of enforcement power.</w:t>
      </w:r>
      <w:r w:rsidR="000E7732">
        <w:rPr>
          <w:b/>
          <w:bCs/>
          <w:i/>
          <w:iCs/>
        </w:rPr>
        <w:t xml:space="preserve"> </w:t>
      </w:r>
      <w:r>
        <w:t>The Gaza conflict, situated at the crossroads of law, politics, and morality, defies easy classification. Whether seen as a genocide or an asymmetric war, its implications are far-reaching. A genocide label invokes binding legal obligations under international law; alternatively, the asymmetric warfare framing emphasizes IHL compliance without necessarily invoking broader legal consequences. This background sets the stage for a deeper examination of legal scholarship, institutional discourse, and normative debates in the following literature review.</w:t>
      </w:r>
    </w:p>
    <w:p w14:paraId="185D5E03" w14:textId="0910DC86" w:rsidR="007B1C7A" w:rsidRPr="005869BC" w:rsidRDefault="007B1C7A" w:rsidP="007B1C7A">
      <w:pPr>
        <w:rPr>
          <w:b/>
          <w:bCs/>
          <w:i/>
          <w:iCs/>
        </w:rPr>
      </w:pPr>
      <w:r w:rsidRPr="00E8216F">
        <w:rPr>
          <w:b/>
          <w:bCs/>
          <w:i/>
          <w:iCs/>
        </w:rPr>
        <w:t>Background of the Study</w:t>
      </w:r>
    </w:p>
    <w:p w14:paraId="18A335EA" w14:textId="66E8BC65" w:rsidR="007B1C7A" w:rsidRDefault="007B1C7A" w:rsidP="007B1C7A">
      <w:r>
        <w:t>The Gaza conflict remains one of the most entrenched and polarizing crises in modern geopolitics. Rooted in the broader Israeli–Palestinian conflict, the situation in Gaza has evolved into a uniquely complex battleground, raising significant challenges for legal classification under international law. To determine whether the ongoing violence constitutes genocide or is more accurately understood as asymmetric warfare, it is essential to examine the historical, legal, and political context that has shaped the conflict.</w:t>
      </w:r>
    </w:p>
    <w:p w14:paraId="14CE8563" w14:textId="77777777" w:rsidR="00766962" w:rsidRDefault="007B1C7A" w:rsidP="007B1C7A">
      <w:r w:rsidRPr="00E8216F">
        <w:rPr>
          <w:b/>
          <w:bCs/>
          <w:i/>
          <w:iCs/>
        </w:rPr>
        <w:t>Historical Overview</w:t>
      </w:r>
      <w:r>
        <w:t xml:space="preserve">: </w:t>
      </w:r>
    </w:p>
    <w:p w14:paraId="77B140D4" w14:textId="6FC9D05F" w:rsidR="007B1C7A" w:rsidRDefault="007B1C7A" w:rsidP="007B1C7A">
      <w:r w:rsidRPr="00547701">
        <w:rPr>
          <w:b/>
          <w:bCs/>
          <w:i/>
          <w:iCs/>
        </w:rPr>
        <w:t>Cycles of Violence and Occupation</w:t>
      </w:r>
      <w:r w:rsidR="00586BD3">
        <w:t xml:space="preserve">:  </w:t>
      </w:r>
      <w:r w:rsidR="00AA3462">
        <w:t xml:space="preserve"> </w:t>
      </w:r>
      <w:r>
        <w:t>The conflict in Gaza is not the product of a single war or political decision but the culmination of decades of occupation, displacement, violence, and international impasse. Following the creation of the State of Israel in 1948 and the first Arab–Israeli war, over 700,000 Palestinians were displaced, an event referred to as the Nakba ("catastrophe"). Approximately 200,000 of these refugees settled in the Gaza Strip, making it one of the most densely populated areas in the world.</w:t>
      </w:r>
    </w:p>
    <w:p w14:paraId="329B0E34" w14:textId="4A02FE7B" w:rsidR="007B1C7A" w:rsidRDefault="007B1C7A" w:rsidP="007B1C7A">
      <w:r>
        <w:t>Between 1948 and 1967, Gaza was administered by Egypt. During this time, Israel fought three major wars involving Gaza: the 1948 Arab–Israeli War, the 1956 Suez Crisis (during which Israel temporarily occupied Gaza), and the 1967 Six-Day War, after which Israel captured and began a prolonged military occupation of the territory. During the 1956 occupation, reports indicated that approximately 1% of Gaza’s population was killed, tortured, or imprisoned by Israeli forces.</w:t>
      </w:r>
    </w:p>
    <w:p w14:paraId="77F4309C" w14:textId="1E7F36D6" w:rsidR="007B1C7A" w:rsidRDefault="007B1C7A" w:rsidP="007B1C7A">
      <w:r>
        <w:t>The First Intifada in 1987 marked the beginning of mass Palestinian resistance to Israeli occupation. Although the 1993 Oslo Accords initiated a period of limited autonomy and temporary calm, violence reignited during the Second Intifada in 2000. In 2005, Israel unilaterally disengaged from Gaza, withdrawing its settlements and troops. However, it retained control over Gaza’s borders, airspace, maritime access, and population registry. Many legal scholars and international institutions, including the United Nations, have argued that this amounts to “effective occupation.”</w:t>
      </w:r>
      <w:r w:rsidR="00232FB8">
        <w:t xml:space="preserve"> </w:t>
      </w:r>
      <w:r>
        <w:t>In 2006, Hamas won legislative elections across the Palestinian territories. A year later, following a brief but violent struggle with Fatah, Hamas took full control of Gaza. In response, Israel, with Egypt’s cooperation, imposed a land, air, and sea blockade aimed at curbing Hamas’ military capabilities. This blockade has been widely condemned as a form of collective punishment under international law and has significantly worsened the humanitarian situation in Gaza.</w:t>
      </w:r>
    </w:p>
    <w:p w14:paraId="6DF9C4B2" w14:textId="77777777" w:rsidR="007B1C7A" w:rsidRDefault="007B1C7A" w:rsidP="007B1C7A"/>
    <w:p w14:paraId="6FD981E6" w14:textId="6FD28CED" w:rsidR="007B1C7A" w:rsidRPr="00F43D3F" w:rsidRDefault="007B1C7A" w:rsidP="007B1C7A">
      <w:pPr>
        <w:rPr>
          <w:i/>
          <w:iCs/>
        </w:rPr>
      </w:pPr>
      <w:r w:rsidRPr="00547701">
        <w:rPr>
          <w:b/>
          <w:bCs/>
          <w:i/>
          <w:iCs/>
        </w:rPr>
        <w:t>Major Military Escalations</w:t>
      </w:r>
      <w:r w:rsidR="00F43D3F">
        <w:rPr>
          <w:b/>
          <w:bCs/>
          <w:i/>
          <w:iCs/>
        </w:rPr>
        <w:t xml:space="preserve">: </w:t>
      </w:r>
      <w:r w:rsidRPr="00F43D3F">
        <w:rPr>
          <w:i/>
          <w:iCs/>
        </w:rPr>
        <w:t>Since the imposition of the blockade, Gaza has experienced several major Israeli military operations:</w:t>
      </w:r>
    </w:p>
    <w:p w14:paraId="29102AF0" w14:textId="2C03CC6F" w:rsidR="007B1C7A" w:rsidRDefault="007B1C7A" w:rsidP="007B1C7A">
      <w:pPr>
        <w:pStyle w:val="ListParagraph"/>
        <w:numPr>
          <w:ilvl w:val="0"/>
          <w:numId w:val="11"/>
        </w:numPr>
      </w:pPr>
      <w:r w:rsidRPr="00714A27">
        <w:rPr>
          <w:b/>
          <w:bCs/>
          <w:i/>
          <w:iCs/>
        </w:rPr>
        <w:t>Operation Cast Lead (2008–2009):</w:t>
      </w:r>
      <w:r>
        <w:t xml:space="preserve"> Launched in response to Hamas rocket fire, this three-week operation resulted in over 1,400 Palestinian deaths and 13 Israeli fatalities. Human rights organizations criticized Israel for disproportionate force and targeting civilian infrastructure.</w:t>
      </w:r>
    </w:p>
    <w:p w14:paraId="3CD92CD8" w14:textId="682F3DBC" w:rsidR="007B1C7A" w:rsidRDefault="007B1C7A" w:rsidP="007B1C7A">
      <w:pPr>
        <w:pStyle w:val="ListParagraph"/>
        <w:numPr>
          <w:ilvl w:val="0"/>
          <w:numId w:val="11"/>
        </w:numPr>
      </w:pPr>
      <w:r w:rsidRPr="00714A27">
        <w:rPr>
          <w:b/>
          <w:bCs/>
          <w:i/>
          <w:iCs/>
        </w:rPr>
        <w:t xml:space="preserve">Operation Pillar of Defense (2012): </w:t>
      </w:r>
      <w:r>
        <w:t>Initiated after the assassination of a Hamas commander, this week-long operation resulted in over 160 Palestinian and six Israeli deaths.</w:t>
      </w:r>
    </w:p>
    <w:p w14:paraId="22B876A5" w14:textId="6A88646E" w:rsidR="007B1C7A" w:rsidRDefault="007B1C7A" w:rsidP="007B1C7A">
      <w:pPr>
        <w:pStyle w:val="ListParagraph"/>
        <w:numPr>
          <w:ilvl w:val="0"/>
          <w:numId w:val="11"/>
        </w:numPr>
      </w:pPr>
      <w:r w:rsidRPr="00714A27">
        <w:rPr>
          <w:b/>
          <w:bCs/>
          <w:i/>
          <w:iCs/>
        </w:rPr>
        <w:t xml:space="preserve">Operation Protective Edge (2014): </w:t>
      </w:r>
      <w:r>
        <w:t xml:space="preserve">The deadliest escalation at the time, this 50-day war killed more than 2,200 Palestinians (including over 500 children) and 73 Israelis. It caused extensive destruction of homes and infrastructure, particularly in Gaza City and Beit </w:t>
      </w:r>
      <w:proofErr w:type="spellStart"/>
      <w:r>
        <w:t>Hanoun</w:t>
      </w:r>
      <w:proofErr w:type="spellEnd"/>
      <w:r>
        <w:t>.</w:t>
      </w:r>
    </w:p>
    <w:p w14:paraId="073F9B36" w14:textId="4340C6F7" w:rsidR="007B1C7A" w:rsidRDefault="007B1C7A" w:rsidP="007B1C7A">
      <w:pPr>
        <w:pStyle w:val="ListParagraph"/>
        <w:numPr>
          <w:ilvl w:val="0"/>
          <w:numId w:val="11"/>
        </w:numPr>
      </w:pPr>
      <w:r w:rsidRPr="00714A27">
        <w:rPr>
          <w:b/>
          <w:bCs/>
          <w:i/>
          <w:iCs/>
        </w:rPr>
        <w:t xml:space="preserve">The Great March of Return (2018–2019): </w:t>
      </w:r>
      <w:r>
        <w:t>Mass Palestinian protests near the Gaza–Israel border were met with Israeli live fire, resulting in hundreds of deaths and thousands of injuries.</w:t>
      </w:r>
    </w:p>
    <w:p w14:paraId="54564E6C" w14:textId="0CCC853B" w:rsidR="007B1C7A" w:rsidRDefault="007B1C7A" w:rsidP="007B1C7A">
      <w:pPr>
        <w:pStyle w:val="ListParagraph"/>
        <w:numPr>
          <w:ilvl w:val="0"/>
          <w:numId w:val="11"/>
        </w:numPr>
      </w:pPr>
      <w:r w:rsidRPr="00714A27">
        <w:rPr>
          <w:b/>
          <w:bCs/>
          <w:i/>
          <w:iCs/>
        </w:rPr>
        <w:t xml:space="preserve">May 2021 Conflict: </w:t>
      </w:r>
      <w:r>
        <w:t>Escalating tensions led to intense airstrikes and rocket fire, killing 256 Palestinians and 15 Israelis.</w:t>
      </w:r>
    </w:p>
    <w:p w14:paraId="5A962024" w14:textId="655A621B" w:rsidR="007B1C7A" w:rsidRDefault="007B1C7A" w:rsidP="007B1C7A">
      <w:pPr>
        <w:pStyle w:val="ListParagraph"/>
        <w:numPr>
          <w:ilvl w:val="0"/>
          <w:numId w:val="11"/>
        </w:numPr>
      </w:pPr>
      <w:r w:rsidRPr="00714A27">
        <w:rPr>
          <w:b/>
          <w:bCs/>
          <w:i/>
          <w:iCs/>
        </w:rPr>
        <w:t xml:space="preserve">October 7, 2023 Attack and Retaliation: </w:t>
      </w:r>
      <w:r>
        <w:t>A surprise Hamas attack killed 1,143 Israelis, mostly civilians. In response, Israel launched a large-scale bombing campaign and ground invasion of Gaza. By mid-2025, over 50,000 Palestinians had been killed, making it the deadliest episode in the history of the conflict.</w:t>
      </w:r>
    </w:p>
    <w:p w14:paraId="0DDE5359" w14:textId="5772A064" w:rsidR="007B1C7A" w:rsidRPr="00232FB8" w:rsidRDefault="007B1C7A" w:rsidP="007B1C7A">
      <w:pPr>
        <w:rPr>
          <w:b/>
          <w:bCs/>
          <w:i/>
          <w:iCs/>
        </w:rPr>
      </w:pPr>
      <w:r w:rsidRPr="00AA3462">
        <w:rPr>
          <w:b/>
          <w:bCs/>
          <w:i/>
          <w:iCs/>
        </w:rPr>
        <w:t>Legal and Political Implications</w:t>
      </w:r>
      <w:r w:rsidR="00AA3462">
        <w:rPr>
          <w:b/>
          <w:bCs/>
          <w:i/>
          <w:iCs/>
        </w:rPr>
        <w:t xml:space="preserve">:  </w:t>
      </w:r>
      <w:r>
        <w:t xml:space="preserve">These repeated cycles of violence have </w:t>
      </w:r>
      <w:proofErr w:type="spellStart"/>
      <w:r>
        <w:t>fueled</w:t>
      </w:r>
      <w:proofErr w:type="spellEnd"/>
      <w:r>
        <w:t xml:space="preserve"> ongoing international debate. Hamas has been widely condemned for launching rockets indiscriminately into Israeli civilian areas while operating from within densely populated </w:t>
      </w:r>
      <w:proofErr w:type="spellStart"/>
      <w:r>
        <w:t>neighborhoods</w:t>
      </w:r>
      <w:proofErr w:type="spellEnd"/>
      <w:r>
        <w:t xml:space="preserve">—raising civilian casualty risks. Israel argues its military responses are lawful acts of </w:t>
      </w:r>
      <w:proofErr w:type="spellStart"/>
      <w:r>
        <w:t>self-defense</w:t>
      </w:r>
      <w:proofErr w:type="spellEnd"/>
      <w:r>
        <w:t>.</w:t>
      </w:r>
      <w:r w:rsidR="00AA3462">
        <w:rPr>
          <w:b/>
          <w:bCs/>
          <w:i/>
          <w:iCs/>
        </w:rPr>
        <w:t xml:space="preserve"> </w:t>
      </w:r>
      <w:r>
        <w:t>However, critics point to the disproportionate scale of Israeli force, the use of heavy weaponry in urban areas, and the high number of civilian deaths. These realities have led to two competing legal interpretations:</w:t>
      </w:r>
    </w:p>
    <w:p w14:paraId="68422B59" w14:textId="66E17592" w:rsidR="007B1C7A" w:rsidRDefault="007B1C7A" w:rsidP="00AA3462">
      <w:pPr>
        <w:pStyle w:val="ListParagraph"/>
        <w:numPr>
          <w:ilvl w:val="0"/>
          <w:numId w:val="12"/>
        </w:numPr>
      </w:pPr>
      <w:r w:rsidRPr="00AA3462">
        <w:rPr>
          <w:b/>
          <w:bCs/>
          <w:i/>
          <w:iCs/>
        </w:rPr>
        <w:t>Genocide Framework</w:t>
      </w:r>
      <w:r>
        <w:t>: Some legal scholars and human rights organizations argue that Israel’s actions may meet the legal definition of genocide under the 1948 Convention, citing mass civilian harm, dehumanizing rhetoric by Israeli officials, and patterns of destruction suggesting intent to destroy a national or ethnic group.</w:t>
      </w:r>
    </w:p>
    <w:p w14:paraId="4D85E13A" w14:textId="2FDC85E4" w:rsidR="007B1C7A" w:rsidRDefault="007B1C7A" w:rsidP="00AA3462">
      <w:pPr>
        <w:pStyle w:val="ListParagraph"/>
        <w:numPr>
          <w:ilvl w:val="0"/>
          <w:numId w:val="12"/>
        </w:numPr>
      </w:pPr>
      <w:r w:rsidRPr="00AA3462">
        <w:rPr>
          <w:b/>
          <w:bCs/>
          <w:i/>
          <w:iCs/>
        </w:rPr>
        <w:t>Asymmetric Warfare Framework</w:t>
      </w:r>
      <w:r>
        <w:t>: Others contend the conflict exemplifies asymmetric warfare, where a militarily superior state confronts a non-state actor embedded within a civilian population. While this model still demands compliance with international humanitarian law—particularly principles of distinction and proportionality—it does not necessarily imply genocidal intent.</w:t>
      </w:r>
    </w:p>
    <w:p w14:paraId="6FC5BF81" w14:textId="307726FF" w:rsidR="00DD2597" w:rsidRPr="00811931" w:rsidRDefault="007B1C7A">
      <w:pPr>
        <w:rPr>
          <w:b/>
          <w:bCs/>
          <w:i/>
          <w:iCs/>
        </w:rPr>
      </w:pPr>
      <w:r w:rsidRPr="003B2FBB">
        <w:rPr>
          <w:b/>
          <w:bCs/>
          <w:i/>
          <w:iCs/>
        </w:rPr>
        <w:t>Accountability and Justice</w:t>
      </w:r>
      <w:r w:rsidR="00B542B1">
        <w:rPr>
          <w:b/>
          <w:bCs/>
          <w:i/>
          <w:iCs/>
        </w:rPr>
        <w:t xml:space="preserve">: </w:t>
      </w:r>
      <w:r w:rsidR="00811931">
        <w:rPr>
          <w:b/>
          <w:bCs/>
          <w:i/>
          <w:iCs/>
        </w:rPr>
        <w:t xml:space="preserve"> </w:t>
      </w:r>
      <w:r>
        <w:t>Efforts to ensure accountability have been slow and politically complex. The International Criminal Court (ICC) has opened investigations into potential war crimes in the Palestinian territories. However, progress is hindered by jurisdictional disputes, lack of cooperation from key states, and geopolitical pressures.</w:t>
      </w:r>
      <w:r w:rsidR="00811931">
        <w:rPr>
          <w:b/>
          <w:bCs/>
          <w:i/>
          <w:iCs/>
        </w:rPr>
        <w:t xml:space="preserve"> </w:t>
      </w:r>
      <w:r>
        <w:t>The Gaza conflict, with its deep historical roots and legal ambiguity, demands serious scrutiny. Whether classified as genocide or asymmetric warfare, the implications of that designation are far-reaching—impacting international legal obligations, humanitarian interventions, and the pursuit of justice. This background lays the foundation for the following literature review, which will examine how legal scholars and institutions interpret these competing frameworks.</w:t>
      </w:r>
    </w:p>
    <w:p w14:paraId="42099123" w14:textId="77777777" w:rsidR="006019BC" w:rsidRDefault="002070CF" w:rsidP="002070CF">
      <w:pPr>
        <w:rPr>
          <w:b/>
          <w:bCs/>
          <w:i/>
          <w:iCs/>
        </w:rPr>
      </w:pPr>
      <w:r w:rsidRPr="00BD0411">
        <w:rPr>
          <w:b/>
          <w:bCs/>
          <w:i/>
          <w:iCs/>
        </w:rPr>
        <w:t xml:space="preserve"> Research Methodology </w:t>
      </w:r>
    </w:p>
    <w:p w14:paraId="38F57BD6" w14:textId="7A26EAC5" w:rsidR="002070CF" w:rsidRPr="00811931" w:rsidRDefault="00811931" w:rsidP="002070CF">
      <w:pPr>
        <w:rPr>
          <w:b/>
          <w:bCs/>
          <w:i/>
          <w:iCs/>
        </w:rPr>
      </w:pPr>
      <w:r>
        <w:rPr>
          <w:b/>
          <w:bCs/>
          <w:i/>
          <w:iCs/>
        </w:rPr>
        <w:t xml:space="preserve">  </w:t>
      </w:r>
      <w:r w:rsidR="002070CF">
        <w:t>This study employs a qualitative, interdisciplinary research methodology that integrates doctrinal legal analysis, case study comparison, and critical discourse analysis. The aim is to assess whether the Gaza conflict can be legally classified as genocide under international law or whether it more appropriately fits within the paradigm of asymmetric warfare. Recognizing the deeply contested nature of this conflict, the methodology prioritizes legal precision while incorporating political and historical context to produce a nuanced understanding of the situation.</w:t>
      </w:r>
    </w:p>
    <w:p w14:paraId="59023A52" w14:textId="5DA8DC97" w:rsidR="002070CF" w:rsidRPr="006D5193" w:rsidRDefault="002070CF" w:rsidP="002070CF">
      <w:pPr>
        <w:rPr>
          <w:b/>
          <w:bCs/>
          <w:i/>
          <w:iCs/>
        </w:rPr>
      </w:pPr>
      <w:r w:rsidRPr="00811931">
        <w:rPr>
          <w:b/>
          <w:bCs/>
          <w:i/>
          <w:iCs/>
        </w:rPr>
        <w:t>Doctrinal Legal Analysis</w:t>
      </w:r>
      <w:r w:rsidR="00811931">
        <w:rPr>
          <w:b/>
          <w:bCs/>
          <w:i/>
          <w:iCs/>
        </w:rPr>
        <w:t xml:space="preserve"> : </w:t>
      </w:r>
      <w:r w:rsidR="006D5193">
        <w:rPr>
          <w:b/>
          <w:bCs/>
          <w:i/>
          <w:iCs/>
        </w:rPr>
        <w:t xml:space="preserve"> </w:t>
      </w:r>
      <w:r>
        <w:t>At the core of this research lies doctrinal legal analysis, which involves the examination and interpretation of legal texts and jurisprudence. The study engages closely with primary legal sources, including:</w:t>
      </w:r>
    </w:p>
    <w:p w14:paraId="7FECC669" w14:textId="0E1F3109" w:rsidR="002070CF" w:rsidRDefault="002070CF" w:rsidP="002070CF">
      <w:pPr>
        <w:pStyle w:val="ListParagraph"/>
        <w:numPr>
          <w:ilvl w:val="0"/>
          <w:numId w:val="13"/>
        </w:numPr>
      </w:pPr>
      <w:r>
        <w:t>The 1948 Genocide Convention</w:t>
      </w:r>
    </w:p>
    <w:p w14:paraId="307F75FA" w14:textId="45FC5C2C" w:rsidR="002070CF" w:rsidRDefault="002070CF" w:rsidP="002070CF">
      <w:pPr>
        <w:pStyle w:val="ListParagraph"/>
        <w:numPr>
          <w:ilvl w:val="0"/>
          <w:numId w:val="13"/>
        </w:numPr>
      </w:pPr>
      <w:r>
        <w:t>The Rome Statute of the International Criminal Court (ICC)</w:t>
      </w:r>
    </w:p>
    <w:p w14:paraId="6D0EAE92" w14:textId="31B72FD9" w:rsidR="002070CF" w:rsidRDefault="002070CF" w:rsidP="002070CF">
      <w:pPr>
        <w:pStyle w:val="ListParagraph"/>
        <w:numPr>
          <w:ilvl w:val="0"/>
          <w:numId w:val="13"/>
        </w:numPr>
      </w:pPr>
      <w:r>
        <w:t>The Geneva Conventions and Additional Protocols</w:t>
      </w:r>
    </w:p>
    <w:p w14:paraId="6DA5D160" w14:textId="0586F3B8" w:rsidR="002070CF" w:rsidRDefault="002070CF" w:rsidP="002070CF">
      <w:pPr>
        <w:pStyle w:val="ListParagraph"/>
        <w:numPr>
          <w:ilvl w:val="0"/>
          <w:numId w:val="13"/>
        </w:numPr>
      </w:pPr>
      <w:r>
        <w:t>Relevant United Nations Security Council (UNSC) and General Assembly (UNGA) resolutions</w:t>
      </w:r>
    </w:p>
    <w:p w14:paraId="0D5E2FA3" w14:textId="77777777" w:rsidR="002070CF" w:rsidRDefault="002070CF" w:rsidP="006D5193">
      <w:pPr>
        <w:pStyle w:val="ListParagraph"/>
        <w:numPr>
          <w:ilvl w:val="0"/>
          <w:numId w:val="13"/>
        </w:numPr>
      </w:pPr>
      <w:r>
        <w:t>Jurisprudence from international courts, particularly the ICTY, ICTR, and ICJ</w:t>
      </w:r>
    </w:p>
    <w:p w14:paraId="0D1B9D09" w14:textId="5AD7BD95" w:rsidR="002070CF" w:rsidRDefault="002070CF" w:rsidP="002070CF">
      <w:r>
        <w:t xml:space="preserve">This doctrinal approach is used to evaluate whether actions committed by state and non-state actors in Gaza meet the legal thresholds of genocide, war crimes, or crimes against humanity. Special attention is paid to the elements of genocide: </w:t>
      </w:r>
      <w:proofErr w:type="spellStart"/>
      <w:r>
        <w:t>actus</w:t>
      </w:r>
      <w:proofErr w:type="spellEnd"/>
      <w:r>
        <w:t xml:space="preserve"> </w:t>
      </w:r>
      <w:proofErr w:type="spellStart"/>
      <w:r>
        <w:t>reus</w:t>
      </w:r>
      <w:proofErr w:type="spellEnd"/>
      <w:r>
        <w:t xml:space="preserve"> (physical acts) and </w:t>
      </w:r>
      <w:proofErr w:type="spellStart"/>
      <w:r>
        <w:t>mens</w:t>
      </w:r>
      <w:proofErr w:type="spellEnd"/>
      <w:r>
        <w:t xml:space="preserve"> rea (intent), particularly the difficulty of proving specific genocidal intent in complex and prolonged conflicts.</w:t>
      </w:r>
      <w:r w:rsidR="008B0111">
        <w:t xml:space="preserve"> </w:t>
      </w:r>
      <w:r>
        <w:t>Legal commentaries and academic works by recognized experts—such as William Schabas, Antonio Cassese, and Philippe Sands—are consulted to interpret these legal standards in both historical and contemporary contexts.</w:t>
      </w:r>
    </w:p>
    <w:p w14:paraId="727DD1A9" w14:textId="06BDE7A2" w:rsidR="002070CF" w:rsidRDefault="002070CF" w:rsidP="002070CF">
      <w:r w:rsidRPr="008B0111">
        <w:rPr>
          <w:b/>
          <w:bCs/>
          <w:i/>
          <w:iCs/>
        </w:rPr>
        <w:t>Case Study Comparison</w:t>
      </w:r>
      <w:r w:rsidR="008B0111">
        <w:rPr>
          <w:b/>
          <w:bCs/>
          <w:i/>
          <w:iCs/>
        </w:rPr>
        <w:t xml:space="preserve">: </w:t>
      </w:r>
      <w:r w:rsidR="008B0111">
        <w:t xml:space="preserve"> </w:t>
      </w:r>
      <w:r>
        <w:t>This research incorporates a comparative case study method to contextualize the Gaza conflict within broader international legal practice. It draws comparisons with:</w:t>
      </w:r>
    </w:p>
    <w:p w14:paraId="5CF6FC18" w14:textId="21E91B02" w:rsidR="002070CF" w:rsidRDefault="002070CF" w:rsidP="002070CF">
      <w:pPr>
        <w:pStyle w:val="ListParagraph"/>
        <w:numPr>
          <w:ilvl w:val="0"/>
          <w:numId w:val="14"/>
        </w:numPr>
      </w:pPr>
      <w:r>
        <w:t>The Rwandan Genocide (1994)</w:t>
      </w:r>
    </w:p>
    <w:p w14:paraId="3AAC295F" w14:textId="1761BC10" w:rsidR="002070CF" w:rsidRDefault="002070CF" w:rsidP="002070CF">
      <w:pPr>
        <w:pStyle w:val="ListParagraph"/>
        <w:numPr>
          <w:ilvl w:val="0"/>
          <w:numId w:val="14"/>
        </w:numPr>
      </w:pPr>
      <w:r>
        <w:t>The Srebrenica Massacre (1995)</w:t>
      </w:r>
    </w:p>
    <w:p w14:paraId="3C3ED683" w14:textId="2BAEBDBD" w:rsidR="002070CF" w:rsidRDefault="002070CF" w:rsidP="002070CF">
      <w:pPr>
        <w:pStyle w:val="ListParagraph"/>
        <w:numPr>
          <w:ilvl w:val="0"/>
          <w:numId w:val="14"/>
        </w:numPr>
      </w:pPr>
      <w:r>
        <w:t>The Darfur Conflict (2003–present)</w:t>
      </w:r>
    </w:p>
    <w:p w14:paraId="2534EEFA" w14:textId="2F5F95D8" w:rsidR="002070CF" w:rsidRDefault="002070CF" w:rsidP="002070CF">
      <w:pPr>
        <w:pStyle w:val="ListParagraph"/>
        <w:numPr>
          <w:ilvl w:val="0"/>
          <w:numId w:val="14"/>
        </w:numPr>
      </w:pPr>
      <w:r>
        <w:t>The Sri Lankan Civil War (1983–2009)</w:t>
      </w:r>
    </w:p>
    <w:p w14:paraId="1B165398" w14:textId="7E696D9A" w:rsidR="002070CF" w:rsidRDefault="002070CF" w:rsidP="002070CF">
      <w:pPr>
        <w:pStyle w:val="ListParagraph"/>
        <w:numPr>
          <w:ilvl w:val="0"/>
          <w:numId w:val="14"/>
        </w:numPr>
      </w:pPr>
      <w:r>
        <w:t>The Russian invasion of Ukraine (2022–present) (in terms of IHL applications)</w:t>
      </w:r>
    </w:p>
    <w:p w14:paraId="4291A19F" w14:textId="77777777" w:rsidR="002070CF" w:rsidRDefault="002070CF" w:rsidP="002070CF">
      <w:r>
        <w:t xml:space="preserve">These cases are selected based on the legal classification they received and their relevance to either genocide or asymmetric warfare. Each case is </w:t>
      </w:r>
      <w:proofErr w:type="spellStart"/>
      <w:r>
        <w:t>analyzed</w:t>
      </w:r>
      <w:proofErr w:type="spellEnd"/>
      <w:r>
        <w:t xml:space="preserve"> to identify patterns in legal interpretation, evidentiary standards, and political implications. The comparison helps establish how international bodies have previously applied legal definitions in real-world situations and whether similar standards are applicable to the Gaza context.</w:t>
      </w:r>
    </w:p>
    <w:p w14:paraId="5894BF92" w14:textId="26A19129" w:rsidR="002070CF" w:rsidRPr="001D1FD4" w:rsidRDefault="002070CF" w:rsidP="002070CF">
      <w:pPr>
        <w:rPr>
          <w:b/>
          <w:bCs/>
          <w:i/>
          <w:iCs/>
        </w:rPr>
      </w:pPr>
      <w:r>
        <w:t xml:space="preserve"> </w:t>
      </w:r>
      <w:r w:rsidRPr="001D1FD4">
        <w:rPr>
          <w:b/>
          <w:bCs/>
          <w:i/>
          <w:iCs/>
        </w:rPr>
        <w:t>Critical Discourse Analysis</w:t>
      </w:r>
      <w:r w:rsidR="001D1FD4">
        <w:rPr>
          <w:b/>
          <w:bCs/>
          <w:i/>
          <w:iCs/>
        </w:rPr>
        <w:t xml:space="preserve">:  </w:t>
      </w:r>
      <w:r>
        <w:t>Given the politicized nature of the Israel-Palestine conflict, a critical discourse analysis (CDA) is used to evaluate how legal language is constructed, contested, and deployed by various actors, including:</w:t>
      </w:r>
    </w:p>
    <w:p w14:paraId="7F5739D6" w14:textId="25F7987C" w:rsidR="002070CF" w:rsidRDefault="002070CF" w:rsidP="002070CF">
      <w:pPr>
        <w:pStyle w:val="ListParagraph"/>
        <w:numPr>
          <w:ilvl w:val="0"/>
          <w:numId w:val="15"/>
        </w:numPr>
      </w:pPr>
      <w:r>
        <w:t>State governments (Israel, Palestine, United States, South Africa, etc.)</w:t>
      </w:r>
    </w:p>
    <w:p w14:paraId="103A1F99" w14:textId="6401BB7F" w:rsidR="002070CF" w:rsidRDefault="002070CF" w:rsidP="002070CF">
      <w:pPr>
        <w:pStyle w:val="ListParagraph"/>
        <w:numPr>
          <w:ilvl w:val="0"/>
          <w:numId w:val="15"/>
        </w:numPr>
      </w:pPr>
      <w:r>
        <w:t>International institutions (UN, ICC, ICJ)</w:t>
      </w:r>
    </w:p>
    <w:p w14:paraId="0A90EC6C" w14:textId="7496C9ED" w:rsidR="002070CF" w:rsidRDefault="002070CF" w:rsidP="002070CF">
      <w:pPr>
        <w:pStyle w:val="ListParagraph"/>
        <w:numPr>
          <w:ilvl w:val="0"/>
          <w:numId w:val="15"/>
        </w:numPr>
      </w:pPr>
      <w:r>
        <w:t>NGOs and human rights organizations</w:t>
      </w:r>
    </w:p>
    <w:p w14:paraId="682B377F" w14:textId="21C38DD0" w:rsidR="002070CF" w:rsidRDefault="002070CF" w:rsidP="002070CF">
      <w:pPr>
        <w:pStyle w:val="ListParagraph"/>
        <w:numPr>
          <w:ilvl w:val="0"/>
          <w:numId w:val="15"/>
        </w:numPr>
      </w:pPr>
      <w:r>
        <w:t>Media outlets and academic institutions</w:t>
      </w:r>
    </w:p>
    <w:p w14:paraId="5CFCE5E4" w14:textId="77777777" w:rsidR="002070CF" w:rsidRDefault="002070CF" w:rsidP="002070CF">
      <w:r>
        <w:t xml:space="preserve">This approach assesses how narratives of genocide or </w:t>
      </w:r>
      <w:proofErr w:type="spellStart"/>
      <w:r>
        <w:t>self-defense</w:t>
      </w:r>
      <w:proofErr w:type="spellEnd"/>
      <w:r>
        <w:t xml:space="preserve"> are framed in political, legal, and public discourse. By </w:t>
      </w:r>
      <w:proofErr w:type="spellStart"/>
      <w:r>
        <w:t>analyzing</w:t>
      </w:r>
      <w:proofErr w:type="spellEnd"/>
      <w:r>
        <w:t xml:space="preserve"> official statements, UN reports, legal briefs, and media coverage, the research identifies the underlying power dynamics that shape legal interpretations. The CDA also exposes how certain terms (e.g., “human shields,” “terror tunnels,” “open-air prison”) are used to justify or challenge military actions and legal claims.</w:t>
      </w:r>
    </w:p>
    <w:p w14:paraId="70970F0A" w14:textId="2CA7743F" w:rsidR="002070CF" w:rsidRDefault="002070CF" w:rsidP="002070CF">
      <w:r w:rsidRPr="009F795D">
        <w:rPr>
          <w:b/>
          <w:bCs/>
          <w:i/>
          <w:iCs/>
        </w:rPr>
        <w:t>Source Selection and Data Collection</w:t>
      </w:r>
    </w:p>
    <w:p w14:paraId="2F9D7FAB" w14:textId="2049073D" w:rsidR="002070CF" w:rsidRPr="009F795D" w:rsidRDefault="002070CF" w:rsidP="002070CF">
      <w:pPr>
        <w:rPr>
          <w:b/>
          <w:bCs/>
          <w:i/>
          <w:iCs/>
        </w:rPr>
      </w:pPr>
      <w:r w:rsidRPr="009F795D">
        <w:rPr>
          <w:b/>
          <w:bCs/>
          <w:i/>
          <w:iCs/>
        </w:rPr>
        <w:t>Primary data sources include:</w:t>
      </w:r>
    </w:p>
    <w:p w14:paraId="17B2E4DF" w14:textId="5AE863C9" w:rsidR="002070CF" w:rsidRDefault="002070CF" w:rsidP="002070CF">
      <w:pPr>
        <w:pStyle w:val="ListParagraph"/>
        <w:numPr>
          <w:ilvl w:val="0"/>
          <w:numId w:val="16"/>
        </w:numPr>
      </w:pPr>
      <w:r>
        <w:t>Legal treaties and official documents (UN, ICC, ICJ)</w:t>
      </w:r>
    </w:p>
    <w:p w14:paraId="1DFDACFF" w14:textId="44F49712" w:rsidR="002070CF" w:rsidRDefault="002070CF" w:rsidP="002070CF">
      <w:pPr>
        <w:pStyle w:val="ListParagraph"/>
        <w:numPr>
          <w:ilvl w:val="0"/>
          <w:numId w:val="16"/>
        </w:numPr>
      </w:pPr>
      <w:r>
        <w:t>Statements from governments and intergovernmental bodies</w:t>
      </w:r>
    </w:p>
    <w:p w14:paraId="36F50FDC" w14:textId="359AC239" w:rsidR="002070CF" w:rsidRDefault="002070CF" w:rsidP="002070CF">
      <w:pPr>
        <w:pStyle w:val="ListParagraph"/>
        <w:numPr>
          <w:ilvl w:val="0"/>
          <w:numId w:val="16"/>
        </w:numPr>
      </w:pPr>
      <w:r>
        <w:t xml:space="preserve">Reports by human rights organizations (Amnesty International, Human Rights Watch, </w:t>
      </w:r>
      <w:proofErr w:type="spellStart"/>
      <w:r>
        <w:t>B’Tselem</w:t>
      </w:r>
      <w:proofErr w:type="spellEnd"/>
      <w:r>
        <w:t>)</w:t>
      </w:r>
    </w:p>
    <w:p w14:paraId="6565D280" w14:textId="32EA06DA" w:rsidR="002070CF" w:rsidRDefault="002070CF" w:rsidP="002070CF">
      <w:pPr>
        <w:pStyle w:val="ListParagraph"/>
        <w:numPr>
          <w:ilvl w:val="0"/>
          <w:numId w:val="16"/>
        </w:numPr>
      </w:pPr>
      <w:r>
        <w:t>Transcripts from court rulings and investigations (e.g., Goldstone Report, ICC filings)</w:t>
      </w:r>
    </w:p>
    <w:p w14:paraId="2E41C145" w14:textId="1983B959" w:rsidR="002070CF" w:rsidRPr="007F5D4F" w:rsidRDefault="002070CF" w:rsidP="002070CF">
      <w:pPr>
        <w:rPr>
          <w:b/>
          <w:bCs/>
          <w:i/>
          <w:iCs/>
        </w:rPr>
      </w:pPr>
      <w:r w:rsidRPr="007F5D4F">
        <w:rPr>
          <w:b/>
          <w:bCs/>
          <w:i/>
          <w:iCs/>
        </w:rPr>
        <w:t>Secondary data includes:</w:t>
      </w:r>
    </w:p>
    <w:p w14:paraId="3DE28596" w14:textId="48199C08" w:rsidR="002070CF" w:rsidRDefault="002070CF" w:rsidP="002070CF">
      <w:pPr>
        <w:pStyle w:val="ListParagraph"/>
        <w:numPr>
          <w:ilvl w:val="0"/>
          <w:numId w:val="17"/>
        </w:numPr>
      </w:pPr>
      <w:r>
        <w:t>Peer-reviewed journal articles in law and political science</w:t>
      </w:r>
    </w:p>
    <w:p w14:paraId="42392DA6" w14:textId="195EF531" w:rsidR="002070CF" w:rsidRDefault="002070CF" w:rsidP="002070CF">
      <w:pPr>
        <w:pStyle w:val="ListParagraph"/>
        <w:numPr>
          <w:ilvl w:val="0"/>
          <w:numId w:val="17"/>
        </w:numPr>
      </w:pPr>
      <w:r>
        <w:t>Books and monographs by established legal scholars</w:t>
      </w:r>
    </w:p>
    <w:p w14:paraId="57C2B828" w14:textId="49BB19CF" w:rsidR="002070CF" w:rsidRDefault="002070CF" w:rsidP="002070CF">
      <w:pPr>
        <w:pStyle w:val="ListParagraph"/>
        <w:numPr>
          <w:ilvl w:val="0"/>
          <w:numId w:val="17"/>
        </w:numPr>
      </w:pPr>
      <w:r>
        <w:t>News media analyses from diverse political perspectives</w:t>
      </w:r>
    </w:p>
    <w:p w14:paraId="641FC8DF" w14:textId="77777777" w:rsidR="002070CF" w:rsidRDefault="002070CF" w:rsidP="007F5D4F">
      <w:pPr>
        <w:pStyle w:val="ListParagraph"/>
        <w:numPr>
          <w:ilvl w:val="0"/>
          <w:numId w:val="17"/>
        </w:numPr>
      </w:pPr>
      <w:r>
        <w:t>Public lectures, interviews, and academic debates</w:t>
      </w:r>
    </w:p>
    <w:p w14:paraId="155D57C3" w14:textId="77777777" w:rsidR="002070CF" w:rsidRDefault="002070CF" w:rsidP="002070CF">
      <w:r>
        <w:t>These sources are evaluated based on credibility, relevance, and representativeness. The study avoids reliance on politically biased or unverified sources unless used explicitly to demonstrate rhetorical or discursive bias.</w:t>
      </w:r>
    </w:p>
    <w:p w14:paraId="360B7FD0" w14:textId="58943C59" w:rsidR="002070CF" w:rsidRDefault="002070CF" w:rsidP="002070CF">
      <w:r w:rsidRPr="007F5D4F">
        <w:rPr>
          <w:b/>
          <w:bCs/>
          <w:i/>
          <w:iCs/>
        </w:rPr>
        <w:t>Ethical Considerations</w:t>
      </w:r>
      <w:r w:rsidR="008A362D">
        <w:rPr>
          <w:b/>
          <w:bCs/>
          <w:i/>
          <w:iCs/>
        </w:rPr>
        <w:t xml:space="preserve">: </w:t>
      </w:r>
      <w:r w:rsidR="008A362D">
        <w:t xml:space="preserve"> </w:t>
      </w:r>
      <w:r>
        <w:t>The topic of Gaza is politically charged and emotionally fraught. This research maintains academic neutrality by focusing on legal standards and evidence, not political allegiance. The goal is not to exonerate or indict any party, but to understand how international law can or cannot adjudicate complex conflicts. Where appropriate, perspectives from both Israeli and Palestinian legal experts are included to ensure balance.</w:t>
      </w:r>
    </w:p>
    <w:p w14:paraId="07575157" w14:textId="62EF489B" w:rsidR="002070CF" w:rsidRPr="008A362D" w:rsidRDefault="002070CF" w:rsidP="002070CF">
      <w:pPr>
        <w:rPr>
          <w:b/>
          <w:bCs/>
          <w:i/>
          <w:iCs/>
        </w:rPr>
      </w:pPr>
      <w:r w:rsidRPr="008A362D">
        <w:rPr>
          <w:b/>
          <w:bCs/>
          <w:i/>
          <w:iCs/>
        </w:rPr>
        <w:t>Limitations of Methodology</w:t>
      </w:r>
      <w:r w:rsidR="008A362D">
        <w:rPr>
          <w:b/>
          <w:bCs/>
          <w:i/>
          <w:iCs/>
        </w:rPr>
        <w:t xml:space="preserve">:  </w:t>
      </w:r>
      <w:r>
        <w:t>The methodology is constrained by several factors, including the lack of access to classified military documents, reliance on secondary reports for battlefield data, and the limitations of legal definitions that may not fully capture human suffering or structural violence. These limitations are addressed further in the next section.</w:t>
      </w:r>
    </w:p>
    <w:p w14:paraId="293E99EF" w14:textId="0411B214" w:rsidR="0003578F" w:rsidRDefault="00AC6E56" w:rsidP="00AC6E56">
      <w:pPr>
        <w:rPr>
          <w:b/>
          <w:bCs/>
          <w:i/>
          <w:iCs/>
        </w:rPr>
      </w:pPr>
      <w:r w:rsidRPr="0003578F">
        <w:rPr>
          <w:b/>
          <w:bCs/>
          <w:i/>
          <w:iCs/>
        </w:rPr>
        <w:t>Analysis</w:t>
      </w:r>
    </w:p>
    <w:p w14:paraId="730C50F2" w14:textId="77777777" w:rsidR="00D16E19" w:rsidRDefault="00AC6E56" w:rsidP="00AC6E56">
      <w:r w:rsidRPr="0003578F">
        <w:rPr>
          <w:b/>
          <w:bCs/>
          <w:i/>
          <w:iCs/>
        </w:rPr>
        <w:t xml:space="preserve"> Legal and Political Classification of the Gaza Conflict</w:t>
      </w:r>
      <w:r w:rsidR="0003578F">
        <w:rPr>
          <w:b/>
          <w:bCs/>
          <w:i/>
          <w:iCs/>
        </w:rPr>
        <w:t>: .</w:t>
      </w:r>
      <w:r>
        <w:t xml:space="preserve">The question of whether the Gaza conflict constitutes genocide or is better framed as asymmetric warfare is both a legal inquiry and a political dilemma. This section critically </w:t>
      </w:r>
      <w:proofErr w:type="spellStart"/>
      <w:r>
        <w:t>analyzes</w:t>
      </w:r>
      <w:proofErr w:type="spellEnd"/>
      <w:r>
        <w:t xml:space="preserve"> the conflict using international legal definitions, applies principles of humanitarian law, and assesses the rhetoric and conduct of both state and non-state actors. The analysis is structured into five thematic subsections: </w:t>
      </w:r>
    </w:p>
    <w:p w14:paraId="656B66C9" w14:textId="3C8B3131" w:rsidR="00D16E19" w:rsidRDefault="00AC6E56" w:rsidP="00D16E19">
      <w:pPr>
        <w:pStyle w:val="ListParagraph"/>
        <w:numPr>
          <w:ilvl w:val="0"/>
          <w:numId w:val="18"/>
        </w:numPr>
      </w:pPr>
      <w:r>
        <w:t xml:space="preserve">factual overview of recent Gaza operations, </w:t>
      </w:r>
    </w:p>
    <w:p w14:paraId="6196C7F2" w14:textId="479CDFBA" w:rsidR="00D16E19" w:rsidRDefault="00AC6E56" w:rsidP="00D16E19">
      <w:pPr>
        <w:pStyle w:val="ListParagraph"/>
        <w:numPr>
          <w:ilvl w:val="0"/>
          <w:numId w:val="18"/>
        </w:numPr>
      </w:pPr>
      <w:r>
        <w:t>genocide criteria and evidence,</w:t>
      </w:r>
    </w:p>
    <w:p w14:paraId="2F8E266F" w14:textId="72C959A0" w:rsidR="00D16E19" w:rsidRDefault="00AC6E56" w:rsidP="00D16E19">
      <w:pPr>
        <w:pStyle w:val="ListParagraph"/>
        <w:numPr>
          <w:ilvl w:val="0"/>
          <w:numId w:val="18"/>
        </w:numPr>
      </w:pPr>
      <w:r>
        <w:t xml:space="preserve">asymmetric warfare dynamics, </w:t>
      </w:r>
    </w:p>
    <w:p w14:paraId="25140990" w14:textId="02C7A7EC" w:rsidR="00D16E19" w:rsidRDefault="00AC6E56" w:rsidP="00D16E19">
      <w:pPr>
        <w:pStyle w:val="ListParagraph"/>
        <w:numPr>
          <w:ilvl w:val="0"/>
          <w:numId w:val="18"/>
        </w:numPr>
      </w:pPr>
      <w:r>
        <w:t xml:space="preserve">legal responsibility and state vs. non-state actors, </w:t>
      </w:r>
    </w:p>
    <w:p w14:paraId="1FF6FD74" w14:textId="1C314245" w:rsidR="00AC6E56" w:rsidRPr="00D16E19" w:rsidRDefault="00AC6E56" w:rsidP="00D16E19">
      <w:pPr>
        <w:pStyle w:val="ListParagraph"/>
        <w:numPr>
          <w:ilvl w:val="0"/>
          <w:numId w:val="18"/>
        </w:numPr>
        <w:rPr>
          <w:b/>
          <w:bCs/>
          <w:i/>
          <w:iCs/>
        </w:rPr>
      </w:pPr>
      <w:r>
        <w:t>interpretative challenges and global reactions.</w:t>
      </w:r>
    </w:p>
    <w:p w14:paraId="1BB20FF4" w14:textId="02F3F850" w:rsidR="00AC6E56" w:rsidRDefault="00AC6E56" w:rsidP="00AC6E56">
      <w:r w:rsidRPr="00623803">
        <w:rPr>
          <w:b/>
          <w:bCs/>
          <w:i/>
          <w:iCs/>
        </w:rPr>
        <w:t>Factual Overview of Recent Conflicts in Gaza</w:t>
      </w:r>
      <w:r w:rsidR="00623803">
        <w:rPr>
          <w:b/>
          <w:bCs/>
          <w:i/>
          <w:iCs/>
        </w:rPr>
        <w:t xml:space="preserve">: </w:t>
      </w:r>
      <w:r w:rsidR="00623803">
        <w:t xml:space="preserve"> </w:t>
      </w:r>
      <w:r>
        <w:t>Since 2008, Israel and Hamas have engaged in multiple military operations in the Gaza Strip, including Operation Cast Lead (2008–2009), Pillar of Defense (2012), Protective Edge (2014), and Guardian of the Walls (2021). These operations were initiated in response to Palestinian rocket fire and other militant activities, but their scale, impact, and proportionality have been widely contested.</w:t>
      </w:r>
      <w:r w:rsidR="00623803">
        <w:t xml:space="preserve"> </w:t>
      </w:r>
      <w:r>
        <w:t xml:space="preserve">Casualty data from the United Nations and NGOs suggest a pattern of disproportionate harm to civilians in Gaza. For example, during the 2014 conflict, over 2,100 Palestinians were killed, of whom the UN estimated at least 70% were civilians. Entire </w:t>
      </w:r>
      <w:proofErr w:type="spellStart"/>
      <w:r>
        <w:t>neighborhoods</w:t>
      </w:r>
      <w:proofErr w:type="spellEnd"/>
      <w:r>
        <w:t xml:space="preserve"> were destroyed, infrastructure was decimated, and vital services like electricity, water, and medical care were rendered inaccessible. By contrast, 73 Israelis were killed, most of whom were soldiers.</w:t>
      </w:r>
      <w:r w:rsidR="00623803">
        <w:t xml:space="preserve"> </w:t>
      </w:r>
      <w:r>
        <w:t>Israel maintains that it uses advanced precision weapons and early warning systems to minimize civilian casualties. However, numerous documented strikes on UN-run schools, hospitals, and residential buildings have raised concerns over whether these efforts are adequate or genuine.</w:t>
      </w:r>
    </w:p>
    <w:p w14:paraId="006CAB59" w14:textId="5EE67FEB" w:rsidR="00AC6E56" w:rsidRPr="00623803" w:rsidRDefault="00AC6E56" w:rsidP="00AC6E56">
      <w:r w:rsidRPr="00623803">
        <w:rPr>
          <w:b/>
          <w:bCs/>
          <w:i/>
          <w:iCs/>
        </w:rPr>
        <w:t>Does the Gaza Conflict Constitute Genocide?</w:t>
      </w:r>
    </w:p>
    <w:p w14:paraId="63F6353E" w14:textId="77777777" w:rsidR="00AC6E56" w:rsidRDefault="00AC6E56" w:rsidP="00AC6E56"/>
    <w:p w14:paraId="6477D937" w14:textId="53C481C0" w:rsidR="00AC6E56" w:rsidRDefault="00AC6E56" w:rsidP="00AC6E56">
      <w:r>
        <w:t xml:space="preserve">To determine whether Israel’s actions constitute genocide under the 1948 Convention, both the </w:t>
      </w:r>
      <w:proofErr w:type="spellStart"/>
      <w:r>
        <w:t>actus</w:t>
      </w:r>
      <w:proofErr w:type="spellEnd"/>
      <w:r>
        <w:t xml:space="preserve"> </w:t>
      </w:r>
      <w:proofErr w:type="spellStart"/>
      <w:r>
        <w:t>reus</w:t>
      </w:r>
      <w:proofErr w:type="spellEnd"/>
      <w:r>
        <w:t xml:space="preserve"> (prohibited acts) and the </w:t>
      </w:r>
      <w:proofErr w:type="spellStart"/>
      <w:r>
        <w:t>mens</w:t>
      </w:r>
      <w:proofErr w:type="spellEnd"/>
      <w:r>
        <w:t xml:space="preserve"> rea (intent to destroy, in whole or in part, a protected group) must be satisfied.</w:t>
      </w:r>
      <w:r w:rsidR="002526B0">
        <w:t xml:space="preserve"> </w:t>
      </w:r>
      <w:r>
        <w:t>Prohibited acts under Article II of the Genocide Convention include:</w:t>
      </w:r>
    </w:p>
    <w:p w14:paraId="5D25858E" w14:textId="3E295C3E" w:rsidR="00AC6E56" w:rsidRDefault="00AC6E56" w:rsidP="00AC6E56">
      <w:pPr>
        <w:pStyle w:val="ListParagraph"/>
        <w:numPr>
          <w:ilvl w:val="0"/>
          <w:numId w:val="20"/>
        </w:numPr>
      </w:pPr>
      <w:r>
        <w:t>Killing members of the group</w:t>
      </w:r>
    </w:p>
    <w:p w14:paraId="1AE3F0AF" w14:textId="6272C758" w:rsidR="00AC6E56" w:rsidRDefault="00AC6E56" w:rsidP="00AC6E56">
      <w:pPr>
        <w:pStyle w:val="ListParagraph"/>
        <w:numPr>
          <w:ilvl w:val="0"/>
          <w:numId w:val="20"/>
        </w:numPr>
      </w:pPr>
      <w:r>
        <w:t>Causing serious bodily or mental harm</w:t>
      </w:r>
    </w:p>
    <w:p w14:paraId="359519E7" w14:textId="77777777" w:rsidR="00AC6E56" w:rsidRDefault="00AC6E56" w:rsidP="002526B0">
      <w:pPr>
        <w:pStyle w:val="ListParagraph"/>
        <w:numPr>
          <w:ilvl w:val="0"/>
          <w:numId w:val="20"/>
        </w:numPr>
      </w:pPr>
      <w:r>
        <w:t>Deliberately inflicting conditions of life calculated to bring about physical destruction</w:t>
      </w:r>
    </w:p>
    <w:p w14:paraId="6D6CB00E" w14:textId="5C2B6674" w:rsidR="00AC6E56" w:rsidRDefault="00AC6E56" w:rsidP="00AC6E56">
      <w:r>
        <w:t>There is little dispute that these acts have occurred in Gaza—thousands of civilians have been killed or injured, and the blockade has arguably inflicted long-term harm. However, these alone do not confirm genocide. The specific intent to destroy a group is the critical differentiator.</w:t>
      </w:r>
      <w:r w:rsidR="00941CDC">
        <w:t xml:space="preserve"> </w:t>
      </w:r>
      <w:r>
        <w:t>Critics point to statements from Israeli political and military leaders that dehumanize Palestinians or suggest collective punishment as indicative of genocidal intent. Examples include calls to "flatten Gaza" or declarations that "there are no innocents" in enemy territory. Some scholars argue that the cumulative pattern of actions—blockade, repeated assaults, targeting of civilian infrastructure—amounts to “incremental genocide” (</w:t>
      </w:r>
      <w:proofErr w:type="spellStart"/>
      <w:r>
        <w:t>Pappé</w:t>
      </w:r>
      <w:proofErr w:type="spellEnd"/>
      <w:r>
        <w:t>, 2006).</w:t>
      </w:r>
      <w:r w:rsidR="00941CDC">
        <w:t xml:space="preserve"> </w:t>
      </w:r>
      <w:r>
        <w:t>However, proponents of a narrower legal view, including Schabas and Cassese, caution against conflating widespread violence with genocidal intent. They emphasize the importance of systematic, documented policy aimed specifically at group destruction, not just military defeat or deterrence. Under this interpretation, unless such intent is proven beyond reasonable doubt—often through direct orders, internal communications, or admissions—the classification of genocide is legally premature or unsustainable.</w:t>
      </w:r>
      <w:r w:rsidR="00941CDC">
        <w:t xml:space="preserve"> </w:t>
      </w:r>
      <w:r>
        <w:t>The ICJ's recent provisional measures in the South Africa v. Israel case (2024) did not conclude that genocide had occurred, but acknowledged the plausibility of such claims and called for Israel to prevent genocidal acts, preserve evidence, and allow humanitarian access. This further underscores the ambiguity and caution in legal circles regarding genocide classification.</w:t>
      </w:r>
    </w:p>
    <w:p w14:paraId="6D084BBF" w14:textId="068C4831" w:rsidR="00AC6E56" w:rsidRDefault="00AC6E56" w:rsidP="00AC6E56">
      <w:r w:rsidRPr="00CC591D">
        <w:rPr>
          <w:b/>
          <w:bCs/>
          <w:i/>
          <w:iCs/>
        </w:rPr>
        <w:t>Asymmetric Warfare and the Laws of Armed Conflict</w:t>
      </w:r>
      <w:r w:rsidR="00CC591D">
        <w:rPr>
          <w:b/>
          <w:bCs/>
          <w:i/>
          <w:iCs/>
        </w:rPr>
        <w:t xml:space="preserve">: </w:t>
      </w:r>
      <w:r w:rsidR="00CC591D">
        <w:t xml:space="preserve"> </w:t>
      </w:r>
      <w:r>
        <w:t>A more widely accepted framework among legal scholars is that of asymmetric warfare governed by International Humanitarian Law (IHL), particularly the Geneva Conventions and Additional Protocols.</w:t>
      </w:r>
      <w:r w:rsidR="00CC591D">
        <w:t xml:space="preserve"> </w:t>
      </w:r>
      <w:r>
        <w:t>Asymmetric warfare refers to conflict between unequal parties—typically a state military and non-state actors—where the weaker side often uses irregular tactics, including hiding among civilians or launching attacks from urban areas. In this context, the challenges of applying proportionality and distinction are immense.</w:t>
      </w:r>
      <w:r w:rsidR="00CC591D">
        <w:t xml:space="preserve"> </w:t>
      </w:r>
      <w:r>
        <w:t xml:space="preserve">Israel argues that Hamas deliberately embeds military infrastructure—rockets, command </w:t>
      </w:r>
      <w:proofErr w:type="spellStart"/>
      <w:r>
        <w:t>centers</w:t>
      </w:r>
      <w:proofErr w:type="spellEnd"/>
      <w:r>
        <w:t>, tunnel networks—within civilian zones, turning civilians into "human shields." This claim is supported by some investigations, though contested by others. Legally, such tactics violate IHL and complicate lawful targeting by Israel.</w:t>
      </w:r>
    </w:p>
    <w:p w14:paraId="724ED020" w14:textId="77777777" w:rsidR="00AC6E56" w:rsidRDefault="00AC6E56" w:rsidP="00AC6E56"/>
    <w:p w14:paraId="3D8CF549" w14:textId="7237D092" w:rsidR="00AC6E56" w:rsidRDefault="00AC6E56" w:rsidP="00AC6E56">
      <w:r>
        <w:t>Still, under IHL, civilian harm must be proportional to the expected military advantage. Numerous incidents in Gaza, such as airstrikes on apartment blocks or marketplaces, have drawn scrutiny for excessive force. The principle of precaution in attack also requires combatants to minimize harm to civilians, which critics argue Israel has routinely failed to uphold.</w:t>
      </w:r>
      <w:r w:rsidR="00CC591D">
        <w:t xml:space="preserve"> </w:t>
      </w:r>
      <w:r>
        <w:t>At the same time, Hamas' own violations—indiscriminate rocket attacks, use of civilian buildings for military purposes—have also breached IHL. However, the asymmetry in power and destruction skews public and legal focus disproportionately toward Israel’s actions.</w:t>
      </w:r>
    </w:p>
    <w:p w14:paraId="5F19486A" w14:textId="1FA105B8" w:rsidR="00AC6E56" w:rsidRPr="00810537" w:rsidRDefault="00AC6E56" w:rsidP="00AC6E56">
      <w:pPr>
        <w:rPr>
          <w:b/>
          <w:bCs/>
          <w:i/>
          <w:iCs/>
        </w:rPr>
      </w:pPr>
      <w:r w:rsidRPr="00CC591D">
        <w:rPr>
          <w:b/>
          <w:bCs/>
          <w:i/>
          <w:iCs/>
        </w:rPr>
        <w:t>Legal Responsibility: State vs. Non-State Actors</w:t>
      </w:r>
      <w:r w:rsidR="00CC591D">
        <w:rPr>
          <w:b/>
          <w:bCs/>
          <w:i/>
          <w:iCs/>
        </w:rPr>
        <w:t xml:space="preserve">: </w:t>
      </w:r>
      <w:r w:rsidR="00810537">
        <w:rPr>
          <w:b/>
          <w:bCs/>
          <w:i/>
          <w:iCs/>
        </w:rPr>
        <w:t xml:space="preserve"> </w:t>
      </w:r>
      <w:r>
        <w:t>The Gaza conflict also raises important questions about accountability, particularly regarding the legal differences in holding state and non-state actors responsible.</w:t>
      </w:r>
      <w:r w:rsidR="00810537">
        <w:t xml:space="preserve"> </w:t>
      </w:r>
      <w:r>
        <w:t>Israel, as a recognized state and UN member, is bound by treaties such as the Geneva Conventions and subject to proceedings before bodies like the International Criminal Court (ICC) and the International Court of Justice (ICJ), though it disputes the ICC’s jurisdiction over Palestine.</w:t>
      </w:r>
      <w:r w:rsidR="00810537">
        <w:t xml:space="preserve"> </w:t>
      </w:r>
      <w:r>
        <w:t>Hamas, as a non-state actor and designated terrorist organization by several countries, is not a party to these treaties but can still be prosecuted under customary international law and under the principle of universal jurisdiction for war crimes. However, the lack of a central authority in Gaza and the fractured nature of Palestinian governance complicates enforcement.</w:t>
      </w:r>
      <w:r w:rsidR="00810537">
        <w:t xml:space="preserve"> </w:t>
      </w:r>
      <w:r>
        <w:t>International bodies such as the ICC face substantial political pressure and logistical barriers when investigating or prosecuting individuals on either side. Moreover, the dual standards applied by powerful states, especially with veto power in the UN Security Council, often insulate Israel from enforceable accountability, leading to critiques of selective justice.</w:t>
      </w:r>
    </w:p>
    <w:p w14:paraId="0E8F1756" w14:textId="4EB51C77" w:rsidR="00AC6E56" w:rsidRDefault="00AC6E56" w:rsidP="00AC6E56">
      <w:r>
        <w:t xml:space="preserve"> </w:t>
      </w:r>
      <w:r w:rsidRPr="00180C5B">
        <w:rPr>
          <w:b/>
          <w:bCs/>
          <w:i/>
          <w:iCs/>
        </w:rPr>
        <w:t>Interpretative Challenges and Global Reactions</w:t>
      </w:r>
      <w:r w:rsidR="00180C5B">
        <w:rPr>
          <w:b/>
          <w:bCs/>
          <w:i/>
          <w:iCs/>
        </w:rPr>
        <w:t xml:space="preserve">: </w:t>
      </w:r>
      <w:r w:rsidR="00180C5B">
        <w:t xml:space="preserve"> </w:t>
      </w:r>
      <w:r>
        <w:t>The classification of the Gaza conflict is further complicated by global political dynamics and divergent legal interpretations.</w:t>
      </w:r>
      <w:r w:rsidR="00C83799">
        <w:t xml:space="preserve"> </w:t>
      </w:r>
      <w:r>
        <w:t xml:space="preserve">Countries like South Africa, Turkey, and Bolivia have increasingly framed the conflict as genocide, citing humanitarian catastrophes and racialized oppression. Meanwhile, Western powers such as the United States and Germany emphasize Israel’s right to </w:t>
      </w:r>
      <w:proofErr w:type="spellStart"/>
      <w:r>
        <w:t>self-defense</w:t>
      </w:r>
      <w:proofErr w:type="spellEnd"/>
      <w:r>
        <w:t>, often without clear reference to proportionality or accountability.</w:t>
      </w:r>
      <w:r w:rsidR="00C83799">
        <w:t xml:space="preserve"> </w:t>
      </w:r>
      <w:r>
        <w:t>The divergence in state reactions illustrates the geopolitical entrenchment of legal classifications. While legal scholars debate the application of Article II of the Genocide Convention, political actors selectively invoke or dismiss genocide claims based on strategic interests rather than legal consistency.</w:t>
      </w:r>
      <w:r w:rsidR="00C83799">
        <w:t xml:space="preserve"> </w:t>
      </w:r>
      <w:r>
        <w:t xml:space="preserve">There is also a growing body of scholarship arguing for a hybrid legal framework, one that goes beyond traditional genocide or warfare models and accounts for colonial history, occupation dynamics, and structural violence. This reflects a broader move toward </w:t>
      </w:r>
      <w:proofErr w:type="spellStart"/>
      <w:r>
        <w:t>decolonial</w:t>
      </w:r>
      <w:proofErr w:type="spellEnd"/>
      <w:r>
        <w:t xml:space="preserve"> legal approaches, especially from scholars in the Global South.</w:t>
      </w:r>
    </w:p>
    <w:p w14:paraId="45CA1423" w14:textId="44E69E56" w:rsidR="00AC6E56" w:rsidRDefault="00AC6E56" w:rsidP="00AC6E56">
      <w:r>
        <w:t xml:space="preserve">In legal terms, the Gaza conflict does not easily fit into a single classification. Evidence of prohibited acts and collective harm is substantial, yet the burden of proving specific genocidal intent remains contested. On the other hand, framing the conflict solely as asymmetric warfare risks minimizing the long-term structural violence faced by </w:t>
      </w:r>
      <w:proofErr w:type="spellStart"/>
      <w:r>
        <w:t>Gazans</w:t>
      </w:r>
      <w:proofErr w:type="spellEnd"/>
      <w:r>
        <w:t xml:space="preserve"> and the failure of international legal protections.</w:t>
      </w:r>
      <w:r w:rsidR="006B6704">
        <w:t xml:space="preserve"> </w:t>
      </w:r>
      <w:r>
        <w:t>Ultimately, the application of either framework—genocide or asymmetric warfare—depends not only on facts and legal texts but on the political will of international institutions and states to enforce those laws impartially. The following section will outline the limitations of this study and reflect on how these complexities impact both legal scholarship and humanitarian policy.</w:t>
      </w:r>
    </w:p>
    <w:p w14:paraId="6F6592A7" w14:textId="77777777" w:rsidR="006019BC" w:rsidRDefault="00E21083" w:rsidP="00E21083">
      <w:pPr>
        <w:rPr>
          <w:b/>
          <w:bCs/>
          <w:i/>
          <w:iCs/>
        </w:rPr>
      </w:pPr>
      <w:r>
        <w:t xml:space="preserve"> </w:t>
      </w:r>
      <w:r w:rsidRPr="006B6704">
        <w:rPr>
          <w:b/>
          <w:bCs/>
          <w:i/>
          <w:iCs/>
        </w:rPr>
        <w:t>Limitations</w:t>
      </w:r>
    </w:p>
    <w:p w14:paraId="48B9DAD8" w14:textId="5210F3CB" w:rsidR="00E21083" w:rsidRDefault="006B6704" w:rsidP="00E21083">
      <w:r>
        <w:rPr>
          <w:b/>
          <w:bCs/>
          <w:i/>
          <w:iCs/>
        </w:rPr>
        <w:t xml:space="preserve"> </w:t>
      </w:r>
      <w:r>
        <w:t xml:space="preserve"> </w:t>
      </w:r>
      <w:r w:rsidR="00E21083">
        <w:t xml:space="preserve">While this study aims to offer a rigorous and balanced legal-political analysis of the Gaza conflict through the lens of genocide and asymmetric warfare, it is critical to acknowledge the methodological, legal, and contextual limitations that affect its findings and interpretations. These limitations do not undermine the study's value but rather frame its conclusions within the inherent challenges of </w:t>
      </w:r>
      <w:proofErr w:type="spellStart"/>
      <w:r w:rsidR="00E21083">
        <w:t>analyzing</w:t>
      </w:r>
      <w:proofErr w:type="spellEnd"/>
      <w:r w:rsidR="00E21083">
        <w:t xml:space="preserve"> a volatile, ongoing conflict in one of the world’s most geopolitically charged regions.</w:t>
      </w:r>
    </w:p>
    <w:p w14:paraId="6AF5CF4D" w14:textId="58B30DBB" w:rsidR="00E21083" w:rsidRDefault="00E21083" w:rsidP="00E21083">
      <w:r>
        <w:t xml:space="preserve"> </w:t>
      </w:r>
      <w:r w:rsidRPr="00F10C4B">
        <w:rPr>
          <w:b/>
          <w:bCs/>
          <w:i/>
          <w:iCs/>
        </w:rPr>
        <w:t>Restricted Access to Primary Data and On-the-Ground Verification</w:t>
      </w:r>
      <w:r w:rsidR="00F10C4B">
        <w:rPr>
          <w:b/>
          <w:bCs/>
          <w:i/>
          <w:iCs/>
        </w:rPr>
        <w:t xml:space="preserve">: </w:t>
      </w:r>
      <w:r w:rsidR="00F05594">
        <w:t xml:space="preserve"> </w:t>
      </w:r>
      <w:r>
        <w:t>A primary limitation of this research is the inability to access first-hand, independently verifiable data from the conflict zone. The Gaza Strip has limited international access due to the Israeli blockade, internal governance by Hamas, and periodic closure to foreign observers. Much of the information regarding military operations, civilian casualties, infrastructure damage, and humanitarian conditions relies on reports by third parties—United Nations agencies, international NGOs, governmental briefings, and media outlets. While many of these sources are credible, they are not immune to limitations in data collection, political influence, or narrative framing.</w:t>
      </w:r>
    </w:p>
    <w:p w14:paraId="731EAB30" w14:textId="77777777" w:rsidR="00E21083" w:rsidRDefault="00E21083" w:rsidP="00E21083"/>
    <w:p w14:paraId="7A9A5821" w14:textId="77777777" w:rsidR="00E21083" w:rsidRDefault="00E21083" w:rsidP="00E21083">
      <w:r>
        <w:t>This absence of direct empirical verification limits the precision of legal claims. In international criminal law, especially when considering allegations as serious as genocide or war crimes, reliable evidence—including internal communications, chain-of-command documents, or satellite intelligence—is often critical to establish culpability and intent. These materials are largely unavailable in the context of Gaza.</w:t>
      </w:r>
    </w:p>
    <w:p w14:paraId="76C8570C" w14:textId="1836C241" w:rsidR="00E21083" w:rsidRDefault="00E21083" w:rsidP="00E21083">
      <w:r w:rsidRPr="00C00518">
        <w:rPr>
          <w:b/>
          <w:bCs/>
          <w:i/>
          <w:iCs/>
        </w:rPr>
        <w:t>Ambiguity in International Legal Frameworks</w:t>
      </w:r>
      <w:r w:rsidR="004D1EF6">
        <w:rPr>
          <w:b/>
          <w:bCs/>
          <w:i/>
          <w:iCs/>
        </w:rPr>
        <w:t xml:space="preserve">: </w:t>
      </w:r>
    </w:p>
    <w:p w14:paraId="6C96EC5E" w14:textId="617CA0C8" w:rsidR="00E21083" w:rsidRDefault="00E21083" w:rsidP="00E21083">
      <w:r>
        <w:t>International law, especially in the domains of genocide, war crimes, and asymmetric conflict, is often marked by ambiguity, interpretive flexibility, and contested jurisprudence. Key terms such as:</w:t>
      </w:r>
    </w:p>
    <w:p w14:paraId="3BB43B15" w14:textId="2C1FF812" w:rsidR="00E21083" w:rsidRDefault="00E21083" w:rsidP="00E21083">
      <w:pPr>
        <w:pStyle w:val="ListParagraph"/>
        <w:numPr>
          <w:ilvl w:val="0"/>
          <w:numId w:val="21"/>
        </w:numPr>
      </w:pPr>
      <w:r>
        <w:t>"Intent to destroy, in whole or in part" (Genocide Convention),</w:t>
      </w:r>
    </w:p>
    <w:p w14:paraId="4643F2F8" w14:textId="2B2EA4A3" w:rsidR="00E21083" w:rsidRDefault="00E21083" w:rsidP="00E21083">
      <w:pPr>
        <w:pStyle w:val="ListParagraph"/>
        <w:numPr>
          <w:ilvl w:val="0"/>
          <w:numId w:val="21"/>
        </w:numPr>
      </w:pPr>
      <w:r>
        <w:t>"Proportionality" (International Humanitarian Law),</w:t>
      </w:r>
    </w:p>
    <w:p w14:paraId="5436484F" w14:textId="1B624E90" w:rsidR="00E21083" w:rsidRDefault="00E21083" w:rsidP="00E21083">
      <w:pPr>
        <w:pStyle w:val="ListParagraph"/>
        <w:numPr>
          <w:ilvl w:val="0"/>
          <w:numId w:val="21"/>
        </w:numPr>
      </w:pPr>
      <w:r>
        <w:t>"Distinction between civilians and combatants" (Geneva Conventions)</w:t>
      </w:r>
      <w:r w:rsidR="00627F5D">
        <w:t xml:space="preserve"> </w:t>
      </w:r>
      <w:r>
        <w:t xml:space="preserve">are inherently subject to differing legal interpretations. For instance, what one state may view as legitimate </w:t>
      </w:r>
      <w:proofErr w:type="spellStart"/>
      <w:r>
        <w:t>self-defense</w:t>
      </w:r>
      <w:proofErr w:type="spellEnd"/>
      <w:r>
        <w:t>, another may consider a war crime or disproportionate use of force.</w:t>
      </w:r>
    </w:p>
    <w:p w14:paraId="4180E56D" w14:textId="77777777" w:rsidR="00E21083" w:rsidRDefault="00E21083" w:rsidP="00E21083"/>
    <w:p w14:paraId="08EE6190" w14:textId="77777777" w:rsidR="00E21083" w:rsidRDefault="00E21083" w:rsidP="00E21083">
      <w:r>
        <w:t>Additionally, there is no universally accepted legal threshold for determining when repeated, structurally violent acts constitute incremental genocide, nor is there clarity on how collective punishment aligns with or violates the Genocide Convention. This makes it difficult to draw legally definitive conclusions, especially in the absence of a neutral adjudicating authority with access to comprehensive evidence.</w:t>
      </w:r>
    </w:p>
    <w:p w14:paraId="059C1B98" w14:textId="34F1F396" w:rsidR="00E21083" w:rsidRPr="000F1484" w:rsidRDefault="00E21083" w:rsidP="00E21083">
      <w:pPr>
        <w:rPr>
          <w:b/>
          <w:bCs/>
          <w:i/>
          <w:iCs/>
        </w:rPr>
      </w:pPr>
      <w:r w:rsidRPr="00627F5D">
        <w:rPr>
          <w:b/>
          <w:bCs/>
          <w:i/>
          <w:iCs/>
        </w:rPr>
        <w:t>Political Polarization and Discursive Bias</w:t>
      </w:r>
      <w:r w:rsidR="000F1484">
        <w:rPr>
          <w:b/>
          <w:bCs/>
          <w:i/>
          <w:iCs/>
        </w:rPr>
        <w:t xml:space="preserve">:  </w:t>
      </w:r>
      <w:r>
        <w:t>The Gaza conflict exists within an extremely polarized political and discursive landscape, with legal terms often co-opted by state actors, media, and advocacy groups to advance political agendas. Terms such as “genocide,” “terrorism,” and “human shields” are not only legal concepts but also tools of political rhetoric.</w:t>
      </w:r>
      <w:r w:rsidR="000F1484">
        <w:rPr>
          <w:b/>
          <w:bCs/>
          <w:i/>
          <w:iCs/>
        </w:rPr>
        <w:t xml:space="preserve"> </w:t>
      </w:r>
      <w:r>
        <w:t>Despite the study’s best efforts to maintain neutrality and academic rigor, it operates in a space where sources—legal documents, UN reports, media coverage—are often perceived through ideological lenses. The risk of unconscious researcher bias cannot be completely eliminated, especially in interpreting the intent behind military actions or evaluating the credibility of testimonies and legal filings.</w:t>
      </w:r>
      <w:r w:rsidR="000F1484">
        <w:t xml:space="preserve"> </w:t>
      </w:r>
      <w:r>
        <w:t xml:space="preserve">Moreover, the selective invocation of international law by powerful states has contributed to a crisis of legitimacy in global legal institutions. This affects the way legal findings are perceived and accepted in global forums, particularly when outcomes are seen as </w:t>
      </w:r>
      <w:proofErr w:type="spellStart"/>
      <w:r>
        <w:t>favoring</w:t>
      </w:r>
      <w:proofErr w:type="spellEnd"/>
      <w:r>
        <w:t xml:space="preserve"> certain geopolitical interests over others.</w:t>
      </w:r>
    </w:p>
    <w:p w14:paraId="31523178" w14:textId="5D7CB687" w:rsidR="00E21083" w:rsidRDefault="00E21083" w:rsidP="00E21083">
      <w:r>
        <w:t xml:space="preserve"> </w:t>
      </w:r>
      <w:r w:rsidRPr="00A00F42">
        <w:rPr>
          <w:b/>
          <w:bCs/>
          <w:i/>
          <w:iCs/>
        </w:rPr>
        <w:t>Limitations of Legal Institutions and Enforcement</w:t>
      </w:r>
      <w:r w:rsidR="00A00F42">
        <w:rPr>
          <w:b/>
          <w:bCs/>
          <w:i/>
          <w:iCs/>
        </w:rPr>
        <w:t xml:space="preserve">: </w:t>
      </w:r>
      <w:r w:rsidR="00A00F42">
        <w:t xml:space="preserve"> </w:t>
      </w:r>
      <w:r>
        <w:t>While international legal institutions like the International Criminal Court (ICC) and International Court of Justice (ICJ) provide theoretical frameworks for accountability, they face significant structural and political limitations. These include:</w:t>
      </w:r>
    </w:p>
    <w:p w14:paraId="7D234AD5" w14:textId="3D9D7ACC" w:rsidR="00E21083" w:rsidRDefault="00E21083" w:rsidP="00E21083">
      <w:pPr>
        <w:pStyle w:val="ListParagraph"/>
        <w:numPr>
          <w:ilvl w:val="0"/>
          <w:numId w:val="22"/>
        </w:numPr>
      </w:pPr>
      <w:r>
        <w:t>Jurisdictional disputes (e.g., Israel’s non-recognition of ICC jurisdiction in Palestinian territories),</w:t>
      </w:r>
    </w:p>
    <w:p w14:paraId="295A428E" w14:textId="3C127A63" w:rsidR="00E21083" w:rsidRDefault="00E21083" w:rsidP="00E21083">
      <w:pPr>
        <w:pStyle w:val="ListParagraph"/>
        <w:numPr>
          <w:ilvl w:val="0"/>
          <w:numId w:val="22"/>
        </w:numPr>
      </w:pPr>
      <w:r>
        <w:t>Lack of enforcement mechanisms,</w:t>
      </w:r>
    </w:p>
    <w:p w14:paraId="5AD991A1" w14:textId="0E6A9CF2" w:rsidR="00E21083" w:rsidRDefault="00E21083" w:rsidP="00E21083">
      <w:pPr>
        <w:pStyle w:val="ListParagraph"/>
        <w:numPr>
          <w:ilvl w:val="0"/>
          <w:numId w:val="22"/>
        </w:numPr>
      </w:pPr>
      <w:r>
        <w:t>Veto politics in the UN Security Council, and</w:t>
      </w:r>
    </w:p>
    <w:p w14:paraId="29696752" w14:textId="3417FCB7" w:rsidR="00E21083" w:rsidRDefault="00E21083" w:rsidP="00E21083">
      <w:pPr>
        <w:pStyle w:val="ListParagraph"/>
        <w:numPr>
          <w:ilvl w:val="0"/>
          <w:numId w:val="22"/>
        </w:numPr>
      </w:pPr>
      <w:r>
        <w:t>Inequitable access to justice for non-state actors.</w:t>
      </w:r>
    </w:p>
    <w:p w14:paraId="4BAD6EDC" w14:textId="77777777" w:rsidR="00E21083" w:rsidRDefault="00E21083" w:rsidP="00E21083">
      <w:r>
        <w:t>These limitations impact not only the potential for legal resolution of the Gaza conflict but also the practical relevance of legal classifications such as genocide. Even where strong prima facie cases exist, as some argue they do in Gaza, actual prosecution or enforcement may be blocked or delayed indefinitely due to political interference or lack of cooperation from state actors.</w:t>
      </w:r>
    </w:p>
    <w:p w14:paraId="65BA2837" w14:textId="41E2CAF1" w:rsidR="00E21083" w:rsidRPr="00A5104B" w:rsidRDefault="00E21083" w:rsidP="00E21083">
      <w:r>
        <w:t xml:space="preserve"> </w:t>
      </w:r>
      <w:r w:rsidRPr="00A5104B">
        <w:rPr>
          <w:b/>
          <w:bCs/>
          <w:i/>
          <w:iCs/>
        </w:rPr>
        <w:t>Temporal and Contextual Constraints</w:t>
      </w:r>
      <w:r w:rsidR="00A5104B">
        <w:rPr>
          <w:b/>
          <w:bCs/>
          <w:i/>
          <w:iCs/>
        </w:rPr>
        <w:t xml:space="preserve">:  </w:t>
      </w:r>
      <w:r>
        <w:t>the ongoing nature of the Gaza conflict presents a temporal limitation. Because new developments—including ceasefires, escalations, international investigations, or UN interventions—can dramatically shift the legal and political landscape, any conclusions drawn are necessarily provisional. This study offers a snapshot based on currently available evidence and legal standards, but it cannot predict or fully account for future developments that may further illuminate or challenge its findings.</w:t>
      </w:r>
    </w:p>
    <w:p w14:paraId="6E4F501B" w14:textId="758F77B2" w:rsidR="00E21083" w:rsidRDefault="00E21083" w:rsidP="00E21083">
      <w:r>
        <w:t>the analysis of whether the Gaza conflict constitutes genocide or is more accurately framed as asymmetric warfare is constrained by limited access to verified data, the interpretive fluidity of international law, geopolitical tensions, and the weaknesses of international legal institutions. Recognizing these limitations is essential to maintaining scholarly integrity, especially when addressing conflicts that involve high human cost, legal complexity, and political sensitivity. These limitations are not obstacles to inquiry but reminders of the importance of caution, precision, and humility in legal scholarship.</w:t>
      </w:r>
    </w:p>
    <w:p w14:paraId="3E78F4AF" w14:textId="1AA2F6B3" w:rsidR="005F11E6" w:rsidRDefault="005F11E6" w:rsidP="005F11E6">
      <w:r w:rsidRPr="003C40FF">
        <w:rPr>
          <w:b/>
          <w:bCs/>
          <w:i/>
          <w:iCs/>
        </w:rPr>
        <w:t>Results</w:t>
      </w:r>
      <w:r w:rsidR="003C40FF">
        <w:rPr>
          <w:b/>
          <w:bCs/>
          <w:i/>
          <w:iCs/>
        </w:rPr>
        <w:t xml:space="preserve">: </w:t>
      </w:r>
      <w:r w:rsidR="003C40FF">
        <w:t xml:space="preserve"> </w:t>
      </w:r>
      <w:r>
        <w:t>This section presents the key findings derived from the doctrinal legal analysis, comparative interpretation of international law, and examination of political discourse surrounding the Gaza conflict. While this study does not claim to deliver a final legal verdict, it offers a structured synthesis of how the conflict aligns with, or diverges from, established legal categories—particularly genocide and asymmetric warfare.</w:t>
      </w:r>
    </w:p>
    <w:p w14:paraId="4D192068" w14:textId="46D432E6" w:rsidR="005F11E6" w:rsidRDefault="005F11E6" w:rsidP="005F11E6">
      <w:r>
        <w:t xml:space="preserve"> </w:t>
      </w:r>
      <w:r w:rsidRPr="00D43E38">
        <w:rPr>
          <w:b/>
          <w:bCs/>
          <w:i/>
          <w:iCs/>
        </w:rPr>
        <w:t xml:space="preserve">Genocide Classification: </w:t>
      </w:r>
      <w:r>
        <w:t xml:space="preserve">The study finds that there is substantial evidence suggesting that certain acts committed during the Gaza conflict could meet some of the criteria for genocide, particularly the </w:t>
      </w:r>
      <w:proofErr w:type="spellStart"/>
      <w:r>
        <w:t>actus</w:t>
      </w:r>
      <w:proofErr w:type="spellEnd"/>
      <w:r>
        <w:t xml:space="preserve"> </w:t>
      </w:r>
      <w:proofErr w:type="spellStart"/>
      <w:r>
        <w:t>reus</w:t>
      </w:r>
      <w:proofErr w:type="spellEnd"/>
      <w:r>
        <w:t xml:space="preserve"> elements (prohibited acts under Article II of the Genocide Convention). These include:</w:t>
      </w:r>
    </w:p>
    <w:p w14:paraId="228975B8" w14:textId="738EC2CD" w:rsidR="005F11E6" w:rsidRDefault="005F11E6" w:rsidP="005F11E6">
      <w:pPr>
        <w:pStyle w:val="ListParagraph"/>
        <w:numPr>
          <w:ilvl w:val="0"/>
          <w:numId w:val="23"/>
        </w:numPr>
      </w:pPr>
      <w:r>
        <w:t>The widespread killing of civilians;</w:t>
      </w:r>
    </w:p>
    <w:p w14:paraId="5BA255F6" w14:textId="21AB7259" w:rsidR="005F11E6" w:rsidRDefault="005F11E6" w:rsidP="005F11E6">
      <w:pPr>
        <w:pStyle w:val="ListParagraph"/>
        <w:numPr>
          <w:ilvl w:val="0"/>
          <w:numId w:val="23"/>
        </w:numPr>
      </w:pPr>
      <w:r>
        <w:t>The infliction of serious bodily and mental harm;</w:t>
      </w:r>
    </w:p>
    <w:p w14:paraId="4A898217" w14:textId="11AABF5F" w:rsidR="005F11E6" w:rsidRDefault="005F11E6" w:rsidP="005F11E6">
      <w:pPr>
        <w:pStyle w:val="ListParagraph"/>
        <w:numPr>
          <w:ilvl w:val="0"/>
          <w:numId w:val="23"/>
        </w:numPr>
      </w:pPr>
      <w:r>
        <w:t>The destruction of infrastructure critical to survival (hospitals, water, food systems).</w:t>
      </w:r>
    </w:p>
    <w:p w14:paraId="0E7A231B" w14:textId="6F463F53" w:rsidR="005F11E6" w:rsidRDefault="005F11E6" w:rsidP="005F11E6">
      <w:r>
        <w:t>However, the key legal obstacle remains the requirement of specific intent (</w:t>
      </w:r>
      <w:proofErr w:type="spellStart"/>
      <w:r>
        <w:t>dolus</w:t>
      </w:r>
      <w:proofErr w:type="spellEnd"/>
      <w:r>
        <w:t xml:space="preserve"> </w:t>
      </w:r>
      <w:proofErr w:type="spellStart"/>
      <w:r>
        <w:t>specialis</w:t>
      </w:r>
      <w:proofErr w:type="spellEnd"/>
      <w:r>
        <w:t>) to destroy, in whole or in part, the Palestinian people as a group. While inflammatory rhetoric by some Israeli political and military figures may raise legitimate concerns about incitement or dehumanization, this alone does not definitively prove state policy or coordinated intent.</w:t>
      </w:r>
      <w:r w:rsidR="00CF3A75">
        <w:t xml:space="preserve"> </w:t>
      </w:r>
      <w:r>
        <w:t>The recent South Africa v. Israel provisional ruling by the International Court of Justice in 2024 acknowledged the plausibility of genocidal acts, instructing Israel to prevent and punish such actions, yet it stopped short of confirming the existence of genocide. Thus, this study concludes that while a genocide determination is legally plausible, it remains contingent on future investigation and evidentiary development.</w:t>
      </w:r>
    </w:p>
    <w:p w14:paraId="7EA17096" w14:textId="52E1EE29" w:rsidR="005F11E6" w:rsidRPr="00097933" w:rsidRDefault="005F11E6" w:rsidP="005F11E6">
      <w:pPr>
        <w:rPr>
          <w:b/>
          <w:bCs/>
          <w:i/>
          <w:iCs/>
        </w:rPr>
      </w:pPr>
      <w:r>
        <w:t xml:space="preserve"> </w:t>
      </w:r>
      <w:r w:rsidRPr="00097933">
        <w:rPr>
          <w:b/>
          <w:bCs/>
          <w:i/>
          <w:iCs/>
        </w:rPr>
        <w:t>Asymmetric Warfare: Legal Recognition with Challenges in Application</w:t>
      </w:r>
      <w:r w:rsidR="00097933">
        <w:rPr>
          <w:b/>
          <w:bCs/>
          <w:i/>
          <w:iCs/>
        </w:rPr>
        <w:t>.</w:t>
      </w:r>
    </w:p>
    <w:p w14:paraId="6340C39D" w14:textId="272BAEB0" w:rsidR="005F11E6" w:rsidRDefault="005F11E6" w:rsidP="005F11E6">
      <w:r w:rsidRPr="00C6236D">
        <w:rPr>
          <w:i/>
          <w:iCs/>
        </w:rPr>
        <w:t>The conflict more clearly fits within the framework of asymmetric warfare, which involves military engagements between a state (Israel) and a non-state actor (Hamas) with highly unequal capacities and methods. Within this paradigm</w:t>
      </w:r>
      <w:r>
        <w:t>:</w:t>
      </w:r>
    </w:p>
    <w:p w14:paraId="1BF635B3" w14:textId="66F6DA90" w:rsidR="005F11E6" w:rsidRDefault="005F11E6" w:rsidP="005F11E6">
      <w:pPr>
        <w:pStyle w:val="ListParagraph"/>
        <w:numPr>
          <w:ilvl w:val="0"/>
          <w:numId w:val="24"/>
        </w:numPr>
      </w:pPr>
      <w:r>
        <w:t>Hamas’ use of civilian infrastructure for military purposes complicates application of the principles of distinction and military necessity.</w:t>
      </w:r>
    </w:p>
    <w:p w14:paraId="083087B4" w14:textId="2F5DDE2C" w:rsidR="005F11E6" w:rsidRDefault="005F11E6" w:rsidP="005F11E6">
      <w:pPr>
        <w:pStyle w:val="ListParagraph"/>
        <w:numPr>
          <w:ilvl w:val="0"/>
          <w:numId w:val="24"/>
        </w:numPr>
      </w:pPr>
      <w:r>
        <w:t>Israel’s repeated and extensive use of airpower in densely populated areas raises questions about proportionality and the duty to minimize civilian harm.</w:t>
      </w:r>
    </w:p>
    <w:p w14:paraId="573DAD4F" w14:textId="76917BD8" w:rsidR="005F11E6" w:rsidRDefault="005F11E6" w:rsidP="005F11E6">
      <w:pPr>
        <w:pStyle w:val="ListParagraph"/>
        <w:numPr>
          <w:ilvl w:val="0"/>
          <w:numId w:val="24"/>
        </w:numPr>
      </w:pPr>
      <w:r>
        <w:t>The law of armed conflict (LOAC) and International Humanitarian Law (IHL) provide the most widely accepted legal basis for assessing conduct in Gaza. The evidence points to serious violations on both sides, including:</w:t>
      </w:r>
    </w:p>
    <w:p w14:paraId="3C27F939" w14:textId="10ABA90A" w:rsidR="005F11E6" w:rsidRDefault="005F11E6" w:rsidP="005F11E6">
      <w:pPr>
        <w:pStyle w:val="ListParagraph"/>
        <w:numPr>
          <w:ilvl w:val="0"/>
          <w:numId w:val="24"/>
        </w:numPr>
      </w:pPr>
      <w:r>
        <w:t>Hamas: Indiscriminate rocket attacks, use of human shields, hostage-taking—all likely constituting war crimes.</w:t>
      </w:r>
    </w:p>
    <w:p w14:paraId="41EB0B9B" w14:textId="3EC0FD1D" w:rsidR="005F11E6" w:rsidRDefault="005F11E6" w:rsidP="005F11E6">
      <w:pPr>
        <w:pStyle w:val="ListParagraph"/>
        <w:numPr>
          <w:ilvl w:val="0"/>
          <w:numId w:val="24"/>
        </w:numPr>
      </w:pPr>
      <w:r>
        <w:t>Israel: Repeated strikes on civilian targets, destruction of basic services, possible collective punishment—potential violations of IHL depending on intent, context, and necessity.</w:t>
      </w:r>
    </w:p>
    <w:p w14:paraId="7129056F" w14:textId="77777777" w:rsidR="005F11E6" w:rsidRDefault="005F11E6" w:rsidP="005F11E6">
      <w:r>
        <w:t xml:space="preserve">The study concludes that asymmetric warfare offers a functional legal lens for </w:t>
      </w:r>
      <w:proofErr w:type="spellStart"/>
      <w:r>
        <w:t>analyzing</w:t>
      </w:r>
      <w:proofErr w:type="spellEnd"/>
      <w:r>
        <w:t xml:space="preserve"> conduct but fails to address deeper questions about long-term occupation, structural violence, and settler-colonial dynamics, which fall outside traditional war law paradigms.</w:t>
      </w:r>
    </w:p>
    <w:p w14:paraId="13EA5A7A" w14:textId="1754A362" w:rsidR="005F11E6" w:rsidRDefault="005F11E6" w:rsidP="005F11E6">
      <w:r>
        <w:t xml:space="preserve"> </w:t>
      </w:r>
      <w:r w:rsidRPr="00F25A2D">
        <w:rPr>
          <w:b/>
          <w:bCs/>
          <w:i/>
          <w:iCs/>
        </w:rPr>
        <w:t>Legal and Political Accountability: Structural Impediments</w:t>
      </w:r>
      <w:r w:rsidR="00F25A2D">
        <w:rPr>
          <w:b/>
          <w:bCs/>
          <w:i/>
          <w:iCs/>
        </w:rPr>
        <w:t xml:space="preserve">: </w:t>
      </w:r>
      <w:r w:rsidR="00F25A2D">
        <w:t xml:space="preserve"> </w:t>
      </w:r>
      <w:r>
        <w:t>Another key result is the limited effectiveness of international legal mechanisms in preventing or punishing potential violations. Despite credible evidence and legal arguments from various actors, accountability remains elusive due to:</w:t>
      </w:r>
    </w:p>
    <w:p w14:paraId="5EE17D18" w14:textId="73D396FF" w:rsidR="005F11E6" w:rsidRDefault="005F11E6" w:rsidP="005F11E6">
      <w:pPr>
        <w:pStyle w:val="ListParagraph"/>
        <w:numPr>
          <w:ilvl w:val="0"/>
          <w:numId w:val="25"/>
        </w:numPr>
      </w:pPr>
      <w:r>
        <w:t>Israel’s non-membership in the Rome Statute (and rejection of ICC jurisdiction),</w:t>
      </w:r>
    </w:p>
    <w:p w14:paraId="2035C244" w14:textId="4A5C6F57" w:rsidR="005F11E6" w:rsidRDefault="005F11E6" w:rsidP="005F11E6">
      <w:pPr>
        <w:pStyle w:val="ListParagraph"/>
        <w:numPr>
          <w:ilvl w:val="0"/>
          <w:numId w:val="25"/>
        </w:numPr>
      </w:pPr>
      <w:r>
        <w:t>The fragmentation of Palestinian governance (Hamas vs. Palestinian Authority),</w:t>
      </w:r>
    </w:p>
    <w:p w14:paraId="117DB2F2" w14:textId="36CFE776" w:rsidR="005F11E6" w:rsidRDefault="005F11E6" w:rsidP="005F11E6">
      <w:pPr>
        <w:pStyle w:val="ListParagraph"/>
        <w:numPr>
          <w:ilvl w:val="0"/>
          <w:numId w:val="25"/>
        </w:numPr>
      </w:pPr>
      <w:r>
        <w:t>The politicization of the UN Security Council,</w:t>
      </w:r>
    </w:p>
    <w:p w14:paraId="6CAD1E30" w14:textId="74394929" w:rsidR="005F11E6" w:rsidRDefault="005F11E6" w:rsidP="005F11E6">
      <w:pPr>
        <w:pStyle w:val="ListParagraph"/>
        <w:numPr>
          <w:ilvl w:val="0"/>
          <w:numId w:val="25"/>
        </w:numPr>
      </w:pPr>
      <w:r>
        <w:t>The perceived selective enforcement of international law, particularly by Western states.</w:t>
      </w:r>
    </w:p>
    <w:p w14:paraId="486C01C3" w14:textId="77777777" w:rsidR="005F11E6" w:rsidRDefault="005F11E6" w:rsidP="005F11E6">
      <w:r>
        <w:t>This institutional paralysis undermines the credibility of legal norms and allows the continuation of cycles of violence under minimal external restraint.</w:t>
      </w:r>
    </w:p>
    <w:p w14:paraId="43159299" w14:textId="019F0E58" w:rsidR="005F11E6" w:rsidRPr="0070508E" w:rsidRDefault="005F11E6" w:rsidP="005F11E6">
      <w:pPr>
        <w:rPr>
          <w:b/>
          <w:bCs/>
          <w:i/>
          <w:iCs/>
        </w:rPr>
      </w:pPr>
      <w:r>
        <w:t xml:space="preserve"> </w:t>
      </w:r>
      <w:r w:rsidRPr="0070508E">
        <w:rPr>
          <w:b/>
          <w:bCs/>
          <w:i/>
          <w:iCs/>
        </w:rPr>
        <w:t>Rhetorical and Symbolic Power of Legal Terms</w:t>
      </w:r>
      <w:r w:rsidR="0070508E">
        <w:rPr>
          <w:b/>
          <w:bCs/>
          <w:i/>
          <w:iCs/>
        </w:rPr>
        <w:t xml:space="preserve">:  </w:t>
      </w:r>
      <w:r>
        <w:t xml:space="preserve"> the study finds that the labels of "genocide" and "terrorism" serve not only legal but also political and symbolic functions. They shape public opinion, international diplomacy, and resource mobilization. The use of these terms by different actors—states, NGOs, media—reflects narrative competition more than legal consensus.</w:t>
      </w:r>
    </w:p>
    <w:p w14:paraId="2DA5CA9B" w14:textId="77777777" w:rsidR="005F11E6" w:rsidRDefault="005F11E6" w:rsidP="005F11E6">
      <w:r>
        <w:t>This underscores the need for more cautious, evidence-based use of legal categories, while also recognizing their powerful role in advocacy and resistance.</w:t>
      </w:r>
    </w:p>
    <w:p w14:paraId="58CAEA74" w14:textId="77777777" w:rsidR="0050373E" w:rsidRDefault="00BC246E" w:rsidP="00E8008D">
      <w:pPr>
        <w:rPr>
          <w:b/>
          <w:bCs/>
          <w:i/>
          <w:iCs/>
          <w:color w:val="000000" w:themeColor="text1"/>
        </w:rPr>
      </w:pPr>
      <w:r>
        <w:t xml:space="preserve"> </w:t>
      </w:r>
      <w:r w:rsidRPr="001231B4">
        <w:rPr>
          <w:b/>
          <w:bCs/>
          <w:i/>
          <w:iCs/>
          <w:color w:val="000000" w:themeColor="text1"/>
        </w:rPr>
        <w:t>Discussion</w:t>
      </w:r>
    </w:p>
    <w:p w14:paraId="7CB797DA" w14:textId="27CC043A" w:rsidR="00E8008D" w:rsidRDefault="00365417" w:rsidP="00E8008D">
      <w:r>
        <w:rPr>
          <w:b/>
          <w:bCs/>
          <w:i/>
          <w:iCs/>
          <w:color w:val="000000" w:themeColor="text1"/>
        </w:rPr>
        <w:t xml:space="preserve"> </w:t>
      </w:r>
      <w:r>
        <w:t xml:space="preserve"> </w:t>
      </w:r>
      <w:r w:rsidR="00E8008D">
        <w:t xml:space="preserve">The 2023–2024 escalation in Gaza marks a turning point in the conflict, exposing the limitations of international legal frameworks in responding to protracted, asymmetric violence. This phase is not just a continuation but a structural intensification, where military operations, legal discourse, and information warfare converge to redefine the nature of war and accountability. A central issue is the debate over whether Israeli actions constitute genocide. While evidence may satisfy the </w:t>
      </w:r>
      <w:proofErr w:type="spellStart"/>
      <w:r w:rsidR="00E8008D">
        <w:t>actus</w:t>
      </w:r>
      <w:proofErr w:type="spellEnd"/>
      <w:r w:rsidR="00E8008D">
        <w:t xml:space="preserve"> </w:t>
      </w:r>
      <w:proofErr w:type="spellStart"/>
      <w:r w:rsidR="00E8008D">
        <w:t>reus</w:t>
      </w:r>
      <w:proofErr w:type="spellEnd"/>
      <w:r w:rsidR="00E8008D">
        <w:t>—such as mass killings and the creation of life-threatening conditions for a protected group—the challenge lies in proving specific intent (</w:t>
      </w:r>
      <w:proofErr w:type="spellStart"/>
      <w:r w:rsidR="00E8008D">
        <w:t>mens</w:t>
      </w:r>
      <w:proofErr w:type="spellEnd"/>
      <w:r w:rsidR="00E8008D">
        <w:t xml:space="preserve"> rea). The International Court of Justice’s provisional measures in South Africa v. Israel acknowledged the plausibility of genocidal acts, reflecting the tension between legal precision and moral urgency. A dual framework, combining strict legal thresholds with early-warning mechanisms rooted in the Responsibility to Protect (R2P), is essential for addressing such crises effectively.</w:t>
      </w:r>
    </w:p>
    <w:p w14:paraId="5F2C2607" w14:textId="42B2A52D" w:rsidR="00E8008D" w:rsidRDefault="00E8008D" w:rsidP="00E8008D">
      <w:r>
        <w:t>The conflict also illustrates the strain placed on International Humanitarian Law (IHL) by asymmetric warfare. Israel, as a state actor with advanced military capabilities, faces Hamas, a non-state group operating within densely populated civilian areas. While IHL permits force under principles of proportionality and necessity, the scale of destruction—especially of hospitals, schools, and civilian infrastructure—raises questions about compliance. Hamas’s tactics, including rocket attacks and the use of human shields, further complicate the legal landscape, but violations by one side do not justify reciprocal breaches. Asymmetry thus exposes a normative gap in current legal frameworks.</w:t>
      </w:r>
    </w:p>
    <w:p w14:paraId="2D9627A9" w14:textId="4546A848" w:rsidR="00E8008D" w:rsidRDefault="00E8008D" w:rsidP="00E8008D">
      <w:r>
        <w:t>Legal mechanisms for accountability remain fragmented and politicized. The International Criminal Court (ICC), despite its jurisdiction over Palestine, faces obstacles such as Israel’s non-recognition, geopolitical interference, and selective enforcement. Similarly, the UN Security Council’s effectiveness is curtailed by veto politics, particularly the United States’ defense of Israel. These dynamics erode trust in the international legal order, especially in the Global South.</w:t>
      </w:r>
    </w:p>
    <w:p w14:paraId="194BA184" w14:textId="5DCE0FF2" w:rsidR="00041066" w:rsidRDefault="00E8008D" w:rsidP="00BC246E">
      <w:r>
        <w:t xml:space="preserve">Language and narrative play a crucial role. Legal terms like “genocide” and “terrorism” shape global discourse and policy responses. Civil society and digital media have expanded awareness but also </w:t>
      </w:r>
      <w:proofErr w:type="spellStart"/>
      <w:r>
        <w:t>fueled</w:t>
      </w:r>
      <w:proofErr w:type="spellEnd"/>
      <w:r>
        <w:t xml:space="preserve"> polarization and misinformation. Ultimately, the Gaza conflict highlights the need to reform genocide law, adapt IHL to urban warfare, and insulate legal institutions from political influence. Without such reform, international law risks irrelevance in the face of modern conflict.</w:t>
      </w:r>
    </w:p>
    <w:p w14:paraId="1E1BBFAE" w14:textId="15CCCF92" w:rsidR="00A77697" w:rsidRPr="002079D8" w:rsidRDefault="00A77697" w:rsidP="00A77697">
      <w:pPr>
        <w:rPr>
          <w:b/>
          <w:bCs/>
          <w:i/>
          <w:iCs/>
        </w:rPr>
      </w:pPr>
      <w:r w:rsidRPr="0030210D">
        <w:rPr>
          <w:b/>
          <w:bCs/>
          <w:i/>
          <w:iCs/>
        </w:rPr>
        <w:t>Conclusion</w:t>
      </w:r>
    </w:p>
    <w:p w14:paraId="5D7DD34D" w14:textId="23690FE9" w:rsidR="00A77697" w:rsidRDefault="00A77697" w:rsidP="0030210D">
      <w:pPr>
        <w:pStyle w:val="ListParagraph"/>
        <w:numPr>
          <w:ilvl w:val="0"/>
          <w:numId w:val="8"/>
        </w:numPr>
      </w:pPr>
      <w:r>
        <w:t>The Gaza conflict presents one of the most pressing and ethically complex challenges in modern international law and global politics. Whether interpreted as a case of genocide or asymmetric warfare, the crisis exposes fundamental weaknesses in the global legal order, highlights the politicization of accountability mechanisms, and reveals the immense human cost of prolonged occupation, siege, and statelessness.</w:t>
      </w:r>
    </w:p>
    <w:p w14:paraId="4F1A1364" w14:textId="109427C0" w:rsidR="00A77697" w:rsidRDefault="00A77697" w:rsidP="0030210D">
      <w:pPr>
        <w:pStyle w:val="ListParagraph"/>
        <w:numPr>
          <w:ilvl w:val="0"/>
          <w:numId w:val="8"/>
        </w:numPr>
      </w:pPr>
      <w:r>
        <w:t>This research has critically examined the contested application of the Genocide Convention and the limitations of International Humanitarian Law (IHL) in regulating asymmetric, urban warfare. The ambiguity surrounding the legal characterization of Israeli actions in Gaza—particularly regarding genocidal intent—contrasts sharply with the severity of humanitarian suffering. This tension underscores a deeper divide between the rigid formalism of legal thresholds and the urgent moral imperatives facing the international community.</w:t>
      </w:r>
    </w:p>
    <w:p w14:paraId="21BE2667" w14:textId="1EC5BCE1" w:rsidR="00A77697" w:rsidRDefault="00A77697" w:rsidP="0030210D">
      <w:pPr>
        <w:pStyle w:val="ListParagraph"/>
        <w:numPr>
          <w:ilvl w:val="0"/>
          <w:numId w:val="8"/>
        </w:numPr>
      </w:pPr>
      <w:r>
        <w:t>Moreover, the asymmetrical nature of the conflict—pitting a technologically advanced state against a non-state actor embedded in a densely populated civilian environment—strains foundational IHL principles such as proportionality, distinction, and necessity. Violations by one party do not justify reciprocal breaches by the other, yet the dynamics of asymmetric warfare often blur these lines, leading to widespread civilian harm and legal uncertainty.</w:t>
      </w:r>
    </w:p>
    <w:p w14:paraId="5EC150D9" w14:textId="22EBCC32" w:rsidR="00A77697" w:rsidRDefault="00A77697" w:rsidP="0030210D">
      <w:pPr>
        <w:pStyle w:val="ListParagraph"/>
        <w:numPr>
          <w:ilvl w:val="0"/>
          <w:numId w:val="8"/>
        </w:numPr>
      </w:pPr>
      <w:r>
        <w:t>Legal institutions such as the International Criminal Court (ICC) and the International Court of Justice (ICJ), while symbolically powerful, remain structurally constrained. Jurisdictional limitations, selective enforcement, and geopolitical interference—especially from powerful states and their allies—undermine the impartiality and credibility of these bodies. The dysfunction of global institutions, particularly the UN Security Council, sets a dangerous precedent: that legal accountability can be circumvented by political power, while vulnerable populations are left without recourse.</w:t>
      </w:r>
    </w:p>
    <w:p w14:paraId="08A93D67" w14:textId="4B056671" w:rsidR="00A77697" w:rsidRDefault="00A77697" w:rsidP="0030210D">
      <w:pPr>
        <w:pStyle w:val="ListParagraph"/>
        <w:numPr>
          <w:ilvl w:val="0"/>
          <w:numId w:val="8"/>
        </w:numPr>
      </w:pPr>
      <w:r>
        <w:t>Yet this conflict is not solely a matter of legal interpretation. It is rooted in decades of unresolved political grievances, systemic disenfranchisement, demographic manipulation, and regional power asymmetries. From the early phases of occupation to the recurring military escalations—including the devastating 2023–2024 war—Gaza has become a site of repeated humanitarian collapse, absent a viable political horizon grounded in justice and mutual recognition.</w:t>
      </w:r>
    </w:p>
    <w:p w14:paraId="662EE167" w14:textId="2937D372" w:rsidR="00A77697" w:rsidRDefault="00A77697" w:rsidP="0030210D">
      <w:pPr>
        <w:pStyle w:val="ListParagraph"/>
        <w:numPr>
          <w:ilvl w:val="0"/>
          <w:numId w:val="8"/>
        </w:numPr>
      </w:pPr>
      <w:r>
        <w:t>The current crisis marks a structural turning point. Warfare now spans not only battlefields but legal courts, information spaces, and transnational public opinion. The erosion of legal legitimacy in Gaza threatens not only the promise of justice for its victims but also the universality of international norms. If foundational principles such as civilian immunity, proportionality, and accountability are selectively applied or politically manipulated, the credibility of the global legal order itself is at stake.</w:t>
      </w:r>
    </w:p>
    <w:p w14:paraId="5D4441F7" w14:textId="5DB78073" w:rsidR="00A77697" w:rsidRDefault="00A77697" w:rsidP="0030210D">
      <w:pPr>
        <w:pStyle w:val="ListParagraph"/>
        <w:numPr>
          <w:ilvl w:val="0"/>
          <w:numId w:val="8"/>
        </w:numPr>
      </w:pPr>
      <w:r>
        <w:t>Nonetheless, within this crisis lies an opportunity. This paper has argued for a dual response: first, to strengthen legal tools by recalibrating definitions of genocide and adapting IHL to contemporary conflict environments; and second, to reform enforcement mechanisms to better withstand political interference. Regional legal instruments—possibly under the Arab League or African Union—could offer more context-sensitive approaches. Meanwhile, civil society, digital documentation, and transnational legal advocacy represent critical tools for pressuring institutions and resisting impunity.</w:t>
      </w:r>
    </w:p>
    <w:p w14:paraId="0E09D1ED" w14:textId="63C792EB" w:rsidR="003B3714" w:rsidRDefault="00A77697" w:rsidP="0030210D">
      <w:pPr>
        <w:pStyle w:val="ListParagraph"/>
        <w:numPr>
          <w:ilvl w:val="0"/>
          <w:numId w:val="8"/>
        </w:numPr>
      </w:pPr>
      <w:r>
        <w:t>Ultimately, the pursuit of justice in Gaza transcends courtroom deliberations or ceasefire negotiations. It is a test of international political will, ethical coherence, and the viability of law as a tool for peace and protection. Without substantive legal reform and genuine political commitment, the Gaza conflict risks becoming not only a humanitarian tragedy but a defining failure of the global legal and moral order.</w:t>
      </w:r>
    </w:p>
    <w:p w14:paraId="6BB228C5" w14:textId="57EE0F8C" w:rsidR="00776335" w:rsidRDefault="00776335" w:rsidP="00776335">
      <w:r w:rsidRPr="00FF3D2C">
        <w:rPr>
          <w:b/>
          <w:bCs/>
          <w:i/>
          <w:iCs/>
        </w:rPr>
        <w:t>Recommendations</w:t>
      </w:r>
    </w:p>
    <w:p w14:paraId="337FC175" w14:textId="62D740E1" w:rsidR="00776335" w:rsidRDefault="00776335" w:rsidP="00776335">
      <w:r>
        <w:t>This study has illuminated critical legal ambiguities, institutional shortcomings, and geopolitical constraints that inhibit effective accountability and humanitarian protection in the Gaza conflict. Whether interpreted through the lens of potential genocide or asymmetric warfare, the crisis demands urgent reforms that are both principled and pragmatic. The following recommendations aim to enhance international legal responsiveness, update humanitarian norms, and promote equitable political engagement.</w:t>
      </w:r>
    </w:p>
    <w:p w14:paraId="4A97E74E" w14:textId="58457CDD" w:rsidR="00776335" w:rsidRPr="00EE119D" w:rsidRDefault="00776335" w:rsidP="00776335">
      <w:pPr>
        <w:rPr>
          <w:b/>
          <w:bCs/>
          <w:i/>
          <w:iCs/>
        </w:rPr>
      </w:pPr>
      <w:r>
        <w:t xml:space="preserve"> </w:t>
      </w:r>
      <w:r w:rsidRPr="00EE119D">
        <w:rPr>
          <w:b/>
          <w:bCs/>
          <w:i/>
          <w:iCs/>
        </w:rPr>
        <w:t>Reinforce Early Warning and Preventive Mechanisms</w:t>
      </w:r>
      <w:r w:rsidR="00EE119D">
        <w:rPr>
          <w:b/>
          <w:bCs/>
          <w:i/>
          <w:iCs/>
        </w:rPr>
        <w:t xml:space="preserve">.  </w:t>
      </w:r>
      <w:r>
        <w:t>Despite mounting indicators of mass atrocity in Gaza, the international community has consistently failed to act preventively. To avoid further normalization of such failures:</w:t>
      </w:r>
    </w:p>
    <w:p w14:paraId="27D02AF1" w14:textId="10103171" w:rsidR="00776335" w:rsidRDefault="00776335" w:rsidP="00776335">
      <w:pPr>
        <w:pStyle w:val="ListParagraph"/>
        <w:numPr>
          <w:ilvl w:val="0"/>
          <w:numId w:val="7"/>
        </w:numPr>
      </w:pPr>
      <w:r>
        <w:t>Operationalize the Responsibility to Protect (R2P): International actors must develop a politically insulated R2P implementation protocol under the UN General Assembly, enabling intervention when Security Council vetoes paralyze action in atrocity contexts.</w:t>
      </w:r>
    </w:p>
    <w:p w14:paraId="07A96703" w14:textId="16878E18" w:rsidR="00776335" w:rsidRDefault="00776335" w:rsidP="00776335">
      <w:pPr>
        <w:pStyle w:val="ListParagraph"/>
        <w:numPr>
          <w:ilvl w:val="0"/>
          <w:numId w:val="7"/>
        </w:numPr>
      </w:pPr>
      <w:r>
        <w:t>Establish a Civilian Harm Monitoring Mechanism: An independent, multilateral observatory—drawing from the UN Office on Genocide Prevention, OSINT researchers, and regional actors—should track patterns of civilian targeting, infrastructure degradation, and hate incitement.</w:t>
      </w:r>
    </w:p>
    <w:p w14:paraId="6CB2BACA" w14:textId="210F3768" w:rsidR="00776335" w:rsidRDefault="00776335" w:rsidP="00776335">
      <w:pPr>
        <w:pStyle w:val="ListParagraph"/>
        <w:numPr>
          <w:ilvl w:val="0"/>
          <w:numId w:val="7"/>
        </w:numPr>
      </w:pPr>
      <w:r>
        <w:t>Create Real-Time Legal Triggers: Early warning systems should be directly linked to legal instruments such as Article 8 of the Rome Statute (war crimes) or the Genocide Convention, enabling timely investigations and sanctions.</w:t>
      </w:r>
    </w:p>
    <w:p w14:paraId="55C028BC" w14:textId="5A6EB91E" w:rsidR="00776335" w:rsidRPr="00EE119D" w:rsidRDefault="00776335" w:rsidP="00776335">
      <w:pPr>
        <w:rPr>
          <w:b/>
          <w:bCs/>
          <w:i/>
          <w:iCs/>
        </w:rPr>
      </w:pPr>
      <w:r>
        <w:t xml:space="preserve"> </w:t>
      </w:r>
      <w:r w:rsidRPr="00BB0A71">
        <w:rPr>
          <w:b/>
          <w:bCs/>
          <w:i/>
          <w:iCs/>
        </w:rPr>
        <w:t>Reform International Legal Institutions for Greater Equity</w:t>
      </w:r>
      <w:r w:rsidR="00BB0A71">
        <w:rPr>
          <w:b/>
          <w:bCs/>
          <w:i/>
          <w:iCs/>
        </w:rPr>
        <w:t xml:space="preserve">. </w:t>
      </w:r>
      <w:r>
        <w:t>The Gaza conflict has exposed the political selectivity and procedural limits of international legal institutions:</w:t>
      </w:r>
    </w:p>
    <w:p w14:paraId="1CA5DF76" w14:textId="1C57413E" w:rsidR="00776335" w:rsidRDefault="00776335" w:rsidP="00776335">
      <w:pPr>
        <w:pStyle w:val="ListParagraph"/>
        <w:numPr>
          <w:ilvl w:val="0"/>
          <w:numId w:val="6"/>
        </w:numPr>
      </w:pPr>
      <w:r>
        <w:t>Amend the Rome Statute for Jurisdictional Flexibility: Allow for jurisdiction over mass atrocity crimes in non-member states when referred by the General Assembly or an ad hoc coalition of states.</w:t>
      </w:r>
    </w:p>
    <w:p w14:paraId="5051A751" w14:textId="60B3C45B" w:rsidR="00776335" w:rsidRDefault="00776335" w:rsidP="00776335">
      <w:pPr>
        <w:pStyle w:val="ListParagraph"/>
        <w:numPr>
          <w:ilvl w:val="0"/>
          <w:numId w:val="6"/>
        </w:numPr>
      </w:pPr>
      <w:r>
        <w:t>Decentralize Enforcement through Regional Legal Mechanisms: Encourage the development of Middle East–based legal institutions under the Arab League or African Union to prosecute war crimes and human rights violations more rapidly and contextually.</w:t>
      </w:r>
    </w:p>
    <w:p w14:paraId="48814828" w14:textId="3710EEBC" w:rsidR="00776335" w:rsidRDefault="00776335" w:rsidP="00776335">
      <w:pPr>
        <w:pStyle w:val="ListParagraph"/>
        <w:numPr>
          <w:ilvl w:val="0"/>
          <w:numId w:val="6"/>
        </w:numPr>
      </w:pPr>
      <w:r>
        <w:t>Combat Legal Asymmetry through Universal Jurisdiction: States should expand their domestic legal frameworks to prosecute atrocity crimes regardless of where they occur, and provide legal aid for victims and witnesses in such cases.</w:t>
      </w:r>
    </w:p>
    <w:p w14:paraId="27AF770B" w14:textId="493DC77B" w:rsidR="00776335" w:rsidRPr="00545D17" w:rsidRDefault="00776335" w:rsidP="00776335">
      <w:pPr>
        <w:rPr>
          <w:b/>
          <w:bCs/>
          <w:i/>
          <w:iCs/>
        </w:rPr>
      </w:pPr>
      <w:r w:rsidRPr="00A9507A">
        <w:rPr>
          <w:b/>
          <w:bCs/>
          <w:i/>
          <w:iCs/>
        </w:rPr>
        <w:t>Adapt International Humanitarian Law (IHL) to Asymmetric and Urban Warfare</w:t>
      </w:r>
      <w:r w:rsidR="00545D17">
        <w:rPr>
          <w:b/>
          <w:bCs/>
          <w:i/>
          <w:iCs/>
        </w:rPr>
        <w:t xml:space="preserve">. </w:t>
      </w:r>
      <w:r>
        <w:t>Traditional IHL struggles to regulate modern urban conflicts involving non-state actors and densely populated areas:</w:t>
      </w:r>
    </w:p>
    <w:p w14:paraId="0F7ADCFE" w14:textId="41432DB8" w:rsidR="00776335" w:rsidRDefault="00776335" w:rsidP="00776335">
      <w:pPr>
        <w:pStyle w:val="ListParagraph"/>
        <w:numPr>
          <w:ilvl w:val="0"/>
          <w:numId w:val="5"/>
        </w:numPr>
      </w:pPr>
      <w:proofErr w:type="spellStart"/>
      <w:r>
        <w:t>Reconceptualize</w:t>
      </w:r>
      <w:proofErr w:type="spellEnd"/>
      <w:r>
        <w:t xml:space="preserve"> Proportionality in Urban Settings: Legal scholars and treaty bodies must codify clearer thresholds for cumulative civilian harm, targeting of dual-use infrastructure, and siege warfare.</w:t>
      </w:r>
    </w:p>
    <w:p w14:paraId="04A033BD" w14:textId="754501F0" w:rsidR="00776335" w:rsidRDefault="00776335" w:rsidP="00776335">
      <w:pPr>
        <w:pStyle w:val="ListParagraph"/>
        <w:numPr>
          <w:ilvl w:val="0"/>
          <w:numId w:val="5"/>
        </w:numPr>
      </w:pPr>
      <w:r>
        <w:t xml:space="preserve">Enforce No-Strike Lists for Civilian Sites: Hospitals, schools, and UN facilities must be digitally </w:t>
      </w:r>
      <w:proofErr w:type="spellStart"/>
      <w:r>
        <w:t>geolocated</w:t>
      </w:r>
      <w:proofErr w:type="spellEnd"/>
      <w:r>
        <w:t xml:space="preserve"> and monitored by international observers, with mandatory legal consequences for repeated violations.</w:t>
      </w:r>
    </w:p>
    <w:p w14:paraId="02B41BC1" w14:textId="7667663B" w:rsidR="00776335" w:rsidRDefault="00776335" w:rsidP="00776335">
      <w:pPr>
        <w:pStyle w:val="ListParagraph"/>
        <w:numPr>
          <w:ilvl w:val="0"/>
          <w:numId w:val="5"/>
        </w:numPr>
      </w:pPr>
      <w:r>
        <w:t>Develop Legal Norms on Military AI and Surveillance: Israel's use of AI-based targeting systems highlights the need for international standards on algorithmic accountability, especially regarding civilian recognition and damage estimation.</w:t>
      </w:r>
    </w:p>
    <w:p w14:paraId="56B63DE0" w14:textId="5A497BFF" w:rsidR="00776335" w:rsidRDefault="00776335" w:rsidP="00776335">
      <w:pPr>
        <w:pStyle w:val="ListParagraph"/>
        <w:numPr>
          <w:ilvl w:val="0"/>
          <w:numId w:val="5"/>
        </w:numPr>
      </w:pPr>
      <w:r>
        <w:t>Define Obligations in Prolonged Occupation Scenarios: International law must better address responsibilities of de facto occupying powers, particularly regarding access to food, water, education, and medical care.</w:t>
      </w:r>
    </w:p>
    <w:p w14:paraId="400BDE6D" w14:textId="26B45361" w:rsidR="00776335" w:rsidRPr="00BB0A71" w:rsidRDefault="00776335" w:rsidP="00BB0A71">
      <w:pPr>
        <w:rPr>
          <w:b/>
          <w:bCs/>
          <w:i/>
          <w:iCs/>
        </w:rPr>
      </w:pPr>
      <w:r w:rsidRPr="007745EE">
        <w:rPr>
          <w:b/>
          <w:bCs/>
          <w:i/>
          <w:iCs/>
        </w:rPr>
        <w:t>Support Civil Society and Knowledge Infrastructure</w:t>
      </w:r>
      <w:r w:rsidR="00BB0A71">
        <w:rPr>
          <w:b/>
          <w:bCs/>
          <w:i/>
          <w:iCs/>
        </w:rPr>
        <w:t xml:space="preserve">. </w:t>
      </w:r>
      <w:r>
        <w:t>Legal accountability depends on documentation, advocacy, and public awareness—all areas where civil society plays an indispensable role:</w:t>
      </w:r>
    </w:p>
    <w:p w14:paraId="783977BC" w14:textId="7BD8266D" w:rsidR="00776335" w:rsidRDefault="00776335" w:rsidP="00952788">
      <w:pPr>
        <w:pStyle w:val="ListParagraph"/>
        <w:numPr>
          <w:ilvl w:val="0"/>
          <w:numId w:val="3"/>
        </w:numPr>
      </w:pPr>
      <w:r>
        <w:t>Protect Human Rights Defenders and Journalists: Enforce international legal protections (e.g., UN Declaration on Human Rights Defenders) and apply sanctions on entities targeting civilian monitors in conflict zones.</w:t>
      </w:r>
    </w:p>
    <w:p w14:paraId="3079AC8B" w14:textId="2E471AA9" w:rsidR="00776335" w:rsidRDefault="00776335" w:rsidP="00952788">
      <w:pPr>
        <w:pStyle w:val="ListParagraph"/>
        <w:numPr>
          <w:ilvl w:val="0"/>
          <w:numId w:val="3"/>
        </w:numPr>
      </w:pPr>
      <w:r>
        <w:t>Fund Open-Source Evidence Collection and Legal Training: Donors and academic institutions should support forensic capacity-building among Palestinian, Israeli, and international NGOs to collect evidence admissible in international courts.</w:t>
      </w:r>
    </w:p>
    <w:p w14:paraId="295588F7" w14:textId="78D690FE" w:rsidR="00776335" w:rsidRDefault="00776335" w:rsidP="00952788">
      <w:pPr>
        <w:pStyle w:val="ListParagraph"/>
        <w:numPr>
          <w:ilvl w:val="0"/>
          <w:numId w:val="3"/>
        </w:numPr>
      </w:pPr>
      <w:r>
        <w:t>Institutionalize Legal Education and Literacy: Promote programs that teach international law in universities and civil society sectors in conflict zones, enabling more informed participation in global legal advocacy.</w:t>
      </w:r>
    </w:p>
    <w:p w14:paraId="517434B6" w14:textId="77777777" w:rsidR="00776335" w:rsidRDefault="00776335" w:rsidP="00952788">
      <w:pPr>
        <w:pStyle w:val="ListParagraph"/>
        <w:numPr>
          <w:ilvl w:val="0"/>
          <w:numId w:val="3"/>
        </w:numPr>
      </w:pPr>
      <w:r>
        <w:t>Create Academic–Advocacy Partnerships: Encourage coalitions between universities, legal clinics, and NGOs to submit shadow reports to UN bodies and provide technical assistance to international prosecutors.</w:t>
      </w:r>
    </w:p>
    <w:p w14:paraId="40218EF2" w14:textId="6B4F606B" w:rsidR="00776335" w:rsidRDefault="00776335" w:rsidP="00776335">
      <w:r w:rsidRPr="00F57944">
        <w:rPr>
          <w:b/>
          <w:bCs/>
          <w:i/>
          <w:iCs/>
        </w:rPr>
        <w:t>Advance a Just Political Framework for Resolution</w:t>
      </w:r>
    </w:p>
    <w:p w14:paraId="5697FAA4" w14:textId="440F924F" w:rsidR="00776335" w:rsidRDefault="00776335" w:rsidP="00952788">
      <w:pPr>
        <w:pStyle w:val="ListParagraph"/>
        <w:numPr>
          <w:ilvl w:val="0"/>
          <w:numId w:val="4"/>
        </w:numPr>
      </w:pPr>
      <w:r>
        <w:t>Ultimately, legal and humanitarian reforms cannot substitute for a long-term political vision that addresses structural injustice and the root causes of the conflict:</w:t>
      </w:r>
    </w:p>
    <w:p w14:paraId="3D9A941A" w14:textId="3CB292EF" w:rsidR="00776335" w:rsidRDefault="00776335" w:rsidP="00952788">
      <w:pPr>
        <w:pStyle w:val="ListParagraph"/>
        <w:numPr>
          <w:ilvl w:val="0"/>
          <w:numId w:val="4"/>
        </w:numPr>
      </w:pPr>
      <w:r>
        <w:t>Reinvigorate Multilateral Mediation: A revitalized diplomatic effort should include regional powers (e.g., Egypt, Jordan, Turkey, South Africa) alongside traditional actors in a new multilateral peace architecture.</w:t>
      </w:r>
    </w:p>
    <w:p w14:paraId="5700EF7E" w14:textId="107391F1" w:rsidR="00776335" w:rsidRDefault="00776335" w:rsidP="00952788">
      <w:pPr>
        <w:pStyle w:val="ListParagraph"/>
        <w:numPr>
          <w:ilvl w:val="0"/>
          <w:numId w:val="4"/>
        </w:numPr>
      </w:pPr>
      <w:r>
        <w:t>Condition Diplomatic and Financial Support on Legal Compliance: Donor states and institutions should tie aid and trade agreements to measurable improvements in civilian protection, freedom of movement, and cessation of collective punishment.</w:t>
      </w:r>
    </w:p>
    <w:p w14:paraId="7C3A331A" w14:textId="3CC5EF21" w:rsidR="00776335" w:rsidRDefault="00776335" w:rsidP="00952788">
      <w:pPr>
        <w:pStyle w:val="ListParagraph"/>
        <w:numPr>
          <w:ilvl w:val="0"/>
          <w:numId w:val="4"/>
        </w:numPr>
      </w:pPr>
      <w:r>
        <w:t>Support Palestinian Political Unity and Institutional Reform: International actors should provide technical and diplomatic support to efforts aimed at reuniting Palestinian governance and reviving representative political structures, particularly in Gaza.</w:t>
      </w:r>
    </w:p>
    <w:p w14:paraId="5FC75EDC" w14:textId="77777777" w:rsidR="00776335" w:rsidRDefault="00776335" w:rsidP="00952788">
      <w:pPr>
        <w:pStyle w:val="ListParagraph"/>
        <w:numPr>
          <w:ilvl w:val="0"/>
          <w:numId w:val="4"/>
        </w:numPr>
      </w:pPr>
      <w:proofErr w:type="spellStart"/>
      <w:r>
        <w:t>Center</w:t>
      </w:r>
      <w:proofErr w:type="spellEnd"/>
      <w:r>
        <w:t xml:space="preserve"> Refugee and Displacement Justice: Any final status agreement must address the rights of Palestinian refugees through options for return, resettlement, or compensation in accordance with international law.</w:t>
      </w:r>
    </w:p>
    <w:p w14:paraId="35AC339D" w14:textId="12719D22" w:rsidR="00C87C21" w:rsidRDefault="00776335">
      <w:r>
        <w:t>These recommendations are rooted in the recognition that Gaza represents not only a humanitarian crisis but a crisis of law, legitimacy, and global order. Addressing it requires more than isolated reforms—it demands a recalibration of international priorities toward principled enforcement, legal innovation, and genuine political engagement.</w:t>
      </w:r>
    </w:p>
    <w:p w14:paraId="16D83F99" w14:textId="77100613" w:rsidR="0017167C" w:rsidRPr="00F57944" w:rsidRDefault="0017167C" w:rsidP="0017167C">
      <w:pPr>
        <w:rPr>
          <w:b/>
          <w:bCs/>
          <w:i/>
          <w:iCs/>
        </w:rPr>
      </w:pPr>
      <w:r w:rsidRPr="0051265E">
        <w:rPr>
          <w:b/>
          <w:bCs/>
          <w:i/>
          <w:iCs/>
        </w:rPr>
        <w:t>References</w:t>
      </w:r>
    </w:p>
    <w:p w14:paraId="5A60AC08" w14:textId="33C6F299" w:rsidR="0017167C" w:rsidRDefault="0017167C" w:rsidP="0017167C">
      <w:pPr>
        <w:pStyle w:val="ListParagraph"/>
        <w:numPr>
          <w:ilvl w:val="0"/>
          <w:numId w:val="2"/>
        </w:numPr>
      </w:pPr>
      <w:r>
        <w:t xml:space="preserve">Alston, P. (2010). Report of the Special Rapporteur on extrajudicial, summary or arbitrary executions. United Nations Human Rights Council. </w:t>
      </w:r>
    </w:p>
    <w:p w14:paraId="2EC95AB2" w14:textId="1F75905D" w:rsidR="0017167C" w:rsidRDefault="0017167C" w:rsidP="0017167C">
      <w:pPr>
        <w:pStyle w:val="ListParagraph"/>
        <w:numPr>
          <w:ilvl w:val="0"/>
          <w:numId w:val="2"/>
        </w:numPr>
      </w:pPr>
      <w:proofErr w:type="spellStart"/>
      <w:r>
        <w:t>Bassiouni</w:t>
      </w:r>
      <w:proofErr w:type="spellEnd"/>
      <w:r>
        <w:t xml:space="preserve">, M. C. (2011). The pursuit of international criminal justice: A world study on conflicts, victimization, and post-conflict justice. </w:t>
      </w:r>
      <w:proofErr w:type="spellStart"/>
      <w:r>
        <w:t>Intersentia</w:t>
      </w:r>
      <w:proofErr w:type="spellEnd"/>
      <w:r>
        <w:t>.</w:t>
      </w:r>
    </w:p>
    <w:p w14:paraId="5DB33803" w14:textId="6DE1927E" w:rsidR="0017167C" w:rsidRDefault="0017167C" w:rsidP="0017167C">
      <w:pPr>
        <w:pStyle w:val="ListParagraph"/>
        <w:numPr>
          <w:ilvl w:val="0"/>
          <w:numId w:val="2"/>
        </w:numPr>
      </w:pPr>
      <w:r>
        <w:t>Bellamy, A. J. (2015). The responsibility to protect: A defense. Oxford University Press.</w:t>
      </w:r>
    </w:p>
    <w:p w14:paraId="133C460C" w14:textId="21AA5197" w:rsidR="0017167C" w:rsidRDefault="0017167C" w:rsidP="0017167C">
      <w:pPr>
        <w:pStyle w:val="ListParagraph"/>
        <w:numPr>
          <w:ilvl w:val="0"/>
          <w:numId w:val="2"/>
        </w:numPr>
      </w:pPr>
      <w:r>
        <w:t xml:space="preserve">Ben-Naftali, O., Gross, A. M., &amp; </w:t>
      </w:r>
      <w:proofErr w:type="spellStart"/>
      <w:r>
        <w:t>Michaeli</w:t>
      </w:r>
      <w:proofErr w:type="spellEnd"/>
      <w:r>
        <w:t>, K. (2005). Illegal occupation: Framing the Occupied Palestinian Territory. Berkeley Journal of International Law, 23(3), 551–614.</w:t>
      </w:r>
    </w:p>
    <w:p w14:paraId="6DCCD410" w14:textId="65230193" w:rsidR="0017167C" w:rsidRDefault="0017167C" w:rsidP="0017167C">
      <w:pPr>
        <w:pStyle w:val="ListParagraph"/>
        <w:numPr>
          <w:ilvl w:val="0"/>
          <w:numId w:val="2"/>
        </w:numPr>
      </w:pPr>
      <w:r>
        <w:t>Blum, G. (2010). The fog of victory. European Journal of International Law, 24(1), 391–421.</w:t>
      </w:r>
    </w:p>
    <w:p w14:paraId="5017D01E" w14:textId="3F230B23" w:rsidR="0017167C" w:rsidRDefault="0017167C" w:rsidP="0017167C">
      <w:pPr>
        <w:pStyle w:val="ListParagraph"/>
        <w:numPr>
          <w:ilvl w:val="0"/>
          <w:numId w:val="2"/>
        </w:numPr>
      </w:pPr>
      <w:proofErr w:type="spellStart"/>
      <w:r>
        <w:t>B'Tselem</w:t>
      </w:r>
      <w:proofErr w:type="spellEnd"/>
      <w:r>
        <w:t>. (2023). Fatalities in the Gaza Strip by year. https://www.btselem.org/statistics</w:t>
      </w:r>
    </w:p>
    <w:p w14:paraId="2BC840D3" w14:textId="67E3966B" w:rsidR="0017167C" w:rsidRDefault="0017167C" w:rsidP="0017167C">
      <w:pPr>
        <w:pStyle w:val="ListParagraph"/>
        <w:numPr>
          <w:ilvl w:val="0"/>
          <w:numId w:val="2"/>
        </w:numPr>
      </w:pPr>
      <w:r>
        <w:t>Geneva Conventions. (1949). Geneva Convention relative to the Protection of Civilian Persons in Time of War (Fourth Geneva Convention). 75 U.N.T.S. 287.</w:t>
      </w:r>
    </w:p>
    <w:p w14:paraId="08475157" w14:textId="2D93A3C7" w:rsidR="0017167C" w:rsidRDefault="0017167C" w:rsidP="0017167C">
      <w:pPr>
        <w:pStyle w:val="ListParagraph"/>
        <w:numPr>
          <w:ilvl w:val="0"/>
          <w:numId w:val="2"/>
        </w:numPr>
      </w:pPr>
      <w:r>
        <w:t xml:space="preserve">Human Rights Watch. (2024). Israel/Palestine: Apparent war crimes in Gaza conflict. </w:t>
      </w:r>
    </w:p>
    <w:p w14:paraId="5DEC7AA6" w14:textId="13FED353" w:rsidR="0017167C" w:rsidRDefault="0017167C" w:rsidP="0017167C">
      <w:pPr>
        <w:pStyle w:val="ListParagraph"/>
        <w:numPr>
          <w:ilvl w:val="0"/>
          <w:numId w:val="2"/>
        </w:numPr>
      </w:pPr>
      <w:r>
        <w:t>International Court of Justice (ICJ). (2024). Application of the Convention on the Prevention and Punishment of the Crime of Genocide in the Gaza Strip (South Africa v. Israel), Order on Provisional Measures.</w:t>
      </w:r>
    </w:p>
    <w:p w14:paraId="6F2BB610" w14:textId="31FDDC50" w:rsidR="0017167C" w:rsidRDefault="0017167C" w:rsidP="0017167C">
      <w:pPr>
        <w:pStyle w:val="ListParagraph"/>
        <w:numPr>
          <w:ilvl w:val="0"/>
          <w:numId w:val="2"/>
        </w:numPr>
      </w:pPr>
      <w:r>
        <w:t xml:space="preserve">International Criminal Court (ICC). (2021). Statement of the Prosecutor, </w:t>
      </w:r>
      <w:proofErr w:type="spellStart"/>
      <w:r>
        <w:t>Fatou</w:t>
      </w:r>
      <w:proofErr w:type="spellEnd"/>
      <w:r>
        <w:t xml:space="preserve"> </w:t>
      </w:r>
      <w:proofErr w:type="spellStart"/>
      <w:r>
        <w:t>Bensouda</w:t>
      </w:r>
      <w:proofErr w:type="spellEnd"/>
      <w:r>
        <w:t xml:space="preserve">, respecting the Situation in Palestine. </w:t>
      </w:r>
    </w:p>
    <w:p w14:paraId="10C44747" w14:textId="081BA719" w:rsidR="0017167C" w:rsidRDefault="0017167C" w:rsidP="0017167C">
      <w:pPr>
        <w:pStyle w:val="ListParagraph"/>
        <w:numPr>
          <w:ilvl w:val="0"/>
          <w:numId w:val="2"/>
        </w:numPr>
      </w:pPr>
      <w:proofErr w:type="spellStart"/>
      <w:r>
        <w:t>Kretzmer</w:t>
      </w:r>
      <w:proofErr w:type="spellEnd"/>
      <w:r>
        <w:t xml:space="preserve">, D. (2005). Targeted killing of suspected terrorists: Extra-judicial executions or legitimate means of defence? European Journal of International Law, </w:t>
      </w:r>
    </w:p>
    <w:p w14:paraId="739E12C6" w14:textId="013B2B00" w:rsidR="0017167C" w:rsidRDefault="0017167C" w:rsidP="0017167C">
      <w:pPr>
        <w:pStyle w:val="ListParagraph"/>
        <w:numPr>
          <w:ilvl w:val="0"/>
          <w:numId w:val="2"/>
        </w:numPr>
      </w:pPr>
      <w:r>
        <w:t>Schabas, W. A. (2009). Genocide in international law: The crime of crimes (2nd ed.). Cambridge University Press.</w:t>
      </w:r>
    </w:p>
    <w:p w14:paraId="3386F5E1" w14:textId="7A58EC1F" w:rsidR="0017167C" w:rsidRDefault="0017167C" w:rsidP="0017167C">
      <w:pPr>
        <w:pStyle w:val="ListParagraph"/>
        <w:numPr>
          <w:ilvl w:val="0"/>
          <w:numId w:val="2"/>
        </w:numPr>
      </w:pPr>
      <w:r>
        <w:t xml:space="preserve">UN Office for the Coordination of Humanitarian Affairs (OCHA). (2024). Gaza Strip: Humanitarian impact update. </w:t>
      </w:r>
    </w:p>
    <w:p w14:paraId="488D5C60" w14:textId="220E24E1" w:rsidR="0017167C" w:rsidRDefault="0017167C" w:rsidP="0017167C">
      <w:pPr>
        <w:pStyle w:val="ListParagraph"/>
        <w:numPr>
          <w:ilvl w:val="0"/>
          <w:numId w:val="2"/>
        </w:numPr>
      </w:pPr>
      <w:r>
        <w:t xml:space="preserve">United Nations General Assembly. (2005). 2005 World Summit Outcome Document. </w:t>
      </w:r>
    </w:p>
    <w:p w14:paraId="77AA5CF8" w14:textId="3A4EC143" w:rsidR="0017167C" w:rsidRDefault="0017167C" w:rsidP="0017167C">
      <w:pPr>
        <w:pStyle w:val="ListParagraph"/>
        <w:numPr>
          <w:ilvl w:val="0"/>
          <w:numId w:val="2"/>
        </w:numPr>
      </w:pPr>
      <w:r>
        <w:t xml:space="preserve">UN Special Rapporteur on the situation of human rights in the Palestinian territories occupied since 1967. (2023). Report to the Human Rights Council, </w:t>
      </w:r>
    </w:p>
    <w:p w14:paraId="36017519" w14:textId="0DA2290A" w:rsidR="006B52B0" w:rsidRDefault="0017167C" w:rsidP="0075439D">
      <w:pPr>
        <w:pStyle w:val="ListParagraph"/>
        <w:numPr>
          <w:ilvl w:val="0"/>
          <w:numId w:val="2"/>
        </w:numPr>
      </w:pPr>
      <w:proofErr w:type="spellStart"/>
      <w:r>
        <w:t>Yesh</w:t>
      </w:r>
      <w:proofErr w:type="spellEnd"/>
      <w:r>
        <w:t xml:space="preserve"> Din. (2020). The Occupation of the West Bank and the Crime of Apartheid: Legal Opinion. </w:t>
      </w:r>
    </w:p>
    <w:p w14:paraId="0DA85A9A" w14:textId="77777777" w:rsidR="00E942FC" w:rsidRDefault="00E942FC"/>
    <w:p w14:paraId="151D6BFF" w14:textId="77777777" w:rsidR="00E942FC" w:rsidRDefault="00E942FC"/>
    <w:p w14:paraId="5167BFB1" w14:textId="77777777" w:rsidR="00B26788" w:rsidRDefault="00B26788"/>
    <w:sectPr w:rsidR="00B2678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72358A"/>
    <w:multiLevelType w:val="hybridMultilevel"/>
    <w:tmpl w:val="5C20D1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703280E"/>
    <w:multiLevelType w:val="hybridMultilevel"/>
    <w:tmpl w:val="A0125E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5CC6222"/>
    <w:multiLevelType w:val="hybridMultilevel"/>
    <w:tmpl w:val="F1027B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FCF0404"/>
    <w:multiLevelType w:val="hybridMultilevel"/>
    <w:tmpl w:val="59102C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11A0E61"/>
    <w:multiLevelType w:val="hybridMultilevel"/>
    <w:tmpl w:val="B316F8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2E13C23"/>
    <w:multiLevelType w:val="hybridMultilevel"/>
    <w:tmpl w:val="799A969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4C4360E"/>
    <w:multiLevelType w:val="hybridMultilevel"/>
    <w:tmpl w:val="075814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6607590"/>
    <w:multiLevelType w:val="hybridMultilevel"/>
    <w:tmpl w:val="AA5883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67D3B9F"/>
    <w:multiLevelType w:val="hybridMultilevel"/>
    <w:tmpl w:val="06181A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C0A3A13"/>
    <w:multiLevelType w:val="hybridMultilevel"/>
    <w:tmpl w:val="6AB4E8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EFF3663"/>
    <w:multiLevelType w:val="hybridMultilevel"/>
    <w:tmpl w:val="6DB092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1DB5D36"/>
    <w:multiLevelType w:val="hybridMultilevel"/>
    <w:tmpl w:val="3956ED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2A91DFB"/>
    <w:multiLevelType w:val="hybridMultilevel"/>
    <w:tmpl w:val="A4A493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704DD1"/>
    <w:multiLevelType w:val="hybridMultilevel"/>
    <w:tmpl w:val="2334E2B0"/>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54C3956"/>
    <w:multiLevelType w:val="hybridMultilevel"/>
    <w:tmpl w:val="9410CE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0E11FCF"/>
    <w:multiLevelType w:val="hybridMultilevel"/>
    <w:tmpl w:val="E18A26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CE63BBF"/>
    <w:multiLevelType w:val="hybridMultilevel"/>
    <w:tmpl w:val="AF5859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FB31B57"/>
    <w:multiLevelType w:val="hybridMultilevel"/>
    <w:tmpl w:val="1A6884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1BB7B8B"/>
    <w:multiLevelType w:val="hybridMultilevel"/>
    <w:tmpl w:val="AA2261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3101C8C"/>
    <w:multiLevelType w:val="hybridMultilevel"/>
    <w:tmpl w:val="CDDE66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79E7599"/>
    <w:multiLevelType w:val="hybridMultilevel"/>
    <w:tmpl w:val="862A6F0A"/>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7E03779"/>
    <w:multiLevelType w:val="hybridMultilevel"/>
    <w:tmpl w:val="A1FCBD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F667260"/>
    <w:multiLevelType w:val="hybridMultilevel"/>
    <w:tmpl w:val="262A6D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1C56832"/>
    <w:multiLevelType w:val="hybridMultilevel"/>
    <w:tmpl w:val="21BA5B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77E69BC"/>
    <w:multiLevelType w:val="hybridMultilevel"/>
    <w:tmpl w:val="494A0E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82904467">
    <w:abstractNumId w:val="20"/>
  </w:num>
  <w:num w:numId="2" w16cid:durableId="441606224">
    <w:abstractNumId w:val="5"/>
  </w:num>
  <w:num w:numId="3" w16cid:durableId="1985349139">
    <w:abstractNumId w:val="12"/>
  </w:num>
  <w:num w:numId="4" w16cid:durableId="2126995172">
    <w:abstractNumId w:val="7"/>
  </w:num>
  <w:num w:numId="5" w16cid:durableId="1365449466">
    <w:abstractNumId w:val="9"/>
  </w:num>
  <w:num w:numId="6" w16cid:durableId="1780104613">
    <w:abstractNumId w:val="2"/>
  </w:num>
  <w:num w:numId="7" w16cid:durableId="1727021389">
    <w:abstractNumId w:val="21"/>
  </w:num>
  <w:num w:numId="8" w16cid:durableId="1721439738">
    <w:abstractNumId w:val="14"/>
  </w:num>
  <w:num w:numId="9" w16cid:durableId="1175002009">
    <w:abstractNumId w:val="0"/>
  </w:num>
  <w:num w:numId="10" w16cid:durableId="524443598">
    <w:abstractNumId w:val="8"/>
  </w:num>
  <w:num w:numId="11" w16cid:durableId="1539783872">
    <w:abstractNumId w:val="18"/>
  </w:num>
  <w:num w:numId="12" w16cid:durableId="1138843775">
    <w:abstractNumId w:val="6"/>
  </w:num>
  <w:num w:numId="13" w16cid:durableId="317155014">
    <w:abstractNumId w:val="1"/>
  </w:num>
  <w:num w:numId="14" w16cid:durableId="524832975">
    <w:abstractNumId w:val="19"/>
  </w:num>
  <w:num w:numId="15" w16cid:durableId="809518784">
    <w:abstractNumId w:val="23"/>
  </w:num>
  <w:num w:numId="16" w16cid:durableId="440955887">
    <w:abstractNumId w:val="22"/>
  </w:num>
  <w:num w:numId="17" w16cid:durableId="333340557">
    <w:abstractNumId w:val="24"/>
  </w:num>
  <w:num w:numId="18" w16cid:durableId="372970772">
    <w:abstractNumId w:val="17"/>
  </w:num>
  <w:num w:numId="19" w16cid:durableId="415709544">
    <w:abstractNumId w:val="13"/>
  </w:num>
  <w:num w:numId="20" w16cid:durableId="23292862">
    <w:abstractNumId w:val="10"/>
  </w:num>
  <w:num w:numId="21" w16cid:durableId="1352611345">
    <w:abstractNumId w:val="16"/>
  </w:num>
  <w:num w:numId="22" w16cid:durableId="382289858">
    <w:abstractNumId w:val="4"/>
  </w:num>
  <w:num w:numId="23" w16cid:durableId="361130676">
    <w:abstractNumId w:val="15"/>
  </w:num>
  <w:num w:numId="24" w16cid:durableId="1559241580">
    <w:abstractNumId w:val="11"/>
  </w:num>
  <w:num w:numId="25" w16cid:durableId="71338607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40"/>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1E16"/>
    <w:rsid w:val="000173B6"/>
    <w:rsid w:val="00023645"/>
    <w:rsid w:val="000347DC"/>
    <w:rsid w:val="000353F9"/>
    <w:rsid w:val="0003578F"/>
    <w:rsid w:val="00041066"/>
    <w:rsid w:val="00044314"/>
    <w:rsid w:val="00064615"/>
    <w:rsid w:val="000757A5"/>
    <w:rsid w:val="00097933"/>
    <w:rsid w:val="000C216E"/>
    <w:rsid w:val="000E3856"/>
    <w:rsid w:val="000E644E"/>
    <w:rsid w:val="000E7732"/>
    <w:rsid w:val="000F1484"/>
    <w:rsid w:val="00100379"/>
    <w:rsid w:val="001137AF"/>
    <w:rsid w:val="001231B4"/>
    <w:rsid w:val="00132DA2"/>
    <w:rsid w:val="00156147"/>
    <w:rsid w:val="00161610"/>
    <w:rsid w:val="001674BF"/>
    <w:rsid w:val="0017167C"/>
    <w:rsid w:val="00180C5B"/>
    <w:rsid w:val="001951E1"/>
    <w:rsid w:val="001D1FD4"/>
    <w:rsid w:val="001D5E36"/>
    <w:rsid w:val="001D608C"/>
    <w:rsid w:val="002044EB"/>
    <w:rsid w:val="0020480D"/>
    <w:rsid w:val="002070CF"/>
    <w:rsid w:val="002079D8"/>
    <w:rsid w:val="00210837"/>
    <w:rsid w:val="002240C2"/>
    <w:rsid w:val="00232FB8"/>
    <w:rsid w:val="0023723E"/>
    <w:rsid w:val="002526B0"/>
    <w:rsid w:val="0025277B"/>
    <w:rsid w:val="00280694"/>
    <w:rsid w:val="002D6346"/>
    <w:rsid w:val="0030210D"/>
    <w:rsid w:val="00343FBA"/>
    <w:rsid w:val="003450FE"/>
    <w:rsid w:val="0036191C"/>
    <w:rsid w:val="00361E16"/>
    <w:rsid w:val="00365417"/>
    <w:rsid w:val="003B2FBB"/>
    <w:rsid w:val="003B3714"/>
    <w:rsid w:val="003C40FF"/>
    <w:rsid w:val="003E0777"/>
    <w:rsid w:val="003E3FE2"/>
    <w:rsid w:val="0046441B"/>
    <w:rsid w:val="0047760D"/>
    <w:rsid w:val="004B7C48"/>
    <w:rsid w:val="004C12EF"/>
    <w:rsid w:val="004D1EF6"/>
    <w:rsid w:val="004D21F0"/>
    <w:rsid w:val="004E0C1B"/>
    <w:rsid w:val="004E431B"/>
    <w:rsid w:val="0050373E"/>
    <w:rsid w:val="0051265E"/>
    <w:rsid w:val="00531A77"/>
    <w:rsid w:val="00545D17"/>
    <w:rsid w:val="00547701"/>
    <w:rsid w:val="00583276"/>
    <w:rsid w:val="005869BC"/>
    <w:rsid w:val="00586BD3"/>
    <w:rsid w:val="005A31BE"/>
    <w:rsid w:val="005A3897"/>
    <w:rsid w:val="005C363F"/>
    <w:rsid w:val="005F11E6"/>
    <w:rsid w:val="006019BC"/>
    <w:rsid w:val="00616251"/>
    <w:rsid w:val="00623803"/>
    <w:rsid w:val="00627F5D"/>
    <w:rsid w:val="0068680B"/>
    <w:rsid w:val="006B52B0"/>
    <w:rsid w:val="006B6704"/>
    <w:rsid w:val="006D5193"/>
    <w:rsid w:val="0070508E"/>
    <w:rsid w:val="00712554"/>
    <w:rsid w:val="00714A27"/>
    <w:rsid w:val="00724165"/>
    <w:rsid w:val="00727A88"/>
    <w:rsid w:val="0075439D"/>
    <w:rsid w:val="00766962"/>
    <w:rsid w:val="007745EE"/>
    <w:rsid w:val="00776335"/>
    <w:rsid w:val="00796CBD"/>
    <w:rsid w:val="007A5843"/>
    <w:rsid w:val="007B1C7A"/>
    <w:rsid w:val="007B5789"/>
    <w:rsid w:val="007F5D4F"/>
    <w:rsid w:val="0080331C"/>
    <w:rsid w:val="00810537"/>
    <w:rsid w:val="00811931"/>
    <w:rsid w:val="00823A2F"/>
    <w:rsid w:val="0086308D"/>
    <w:rsid w:val="008A362D"/>
    <w:rsid w:val="008B0111"/>
    <w:rsid w:val="008C33B5"/>
    <w:rsid w:val="00902114"/>
    <w:rsid w:val="009114E0"/>
    <w:rsid w:val="00911C44"/>
    <w:rsid w:val="00917AFA"/>
    <w:rsid w:val="00941CDC"/>
    <w:rsid w:val="00952788"/>
    <w:rsid w:val="00976FA5"/>
    <w:rsid w:val="009B365F"/>
    <w:rsid w:val="009D4F04"/>
    <w:rsid w:val="009D6619"/>
    <w:rsid w:val="009F795D"/>
    <w:rsid w:val="00A00F42"/>
    <w:rsid w:val="00A46829"/>
    <w:rsid w:val="00A5104B"/>
    <w:rsid w:val="00A77697"/>
    <w:rsid w:val="00A9507A"/>
    <w:rsid w:val="00AA3462"/>
    <w:rsid w:val="00AA503C"/>
    <w:rsid w:val="00AC6E56"/>
    <w:rsid w:val="00AD4A65"/>
    <w:rsid w:val="00B2605C"/>
    <w:rsid w:val="00B26788"/>
    <w:rsid w:val="00B37B3E"/>
    <w:rsid w:val="00B54260"/>
    <w:rsid w:val="00B542B1"/>
    <w:rsid w:val="00B75CEE"/>
    <w:rsid w:val="00B81AD7"/>
    <w:rsid w:val="00B84AF0"/>
    <w:rsid w:val="00B97070"/>
    <w:rsid w:val="00BB0A71"/>
    <w:rsid w:val="00BC246E"/>
    <w:rsid w:val="00BD0411"/>
    <w:rsid w:val="00BF5336"/>
    <w:rsid w:val="00C00518"/>
    <w:rsid w:val="00C2134C"/>
    <w:rsid w:val="00C261B1"/>
    <w:rsid w:val="00C455EB"/>
    <w:rsid w:val="00C6236D"/>
    <w:rsid w:val="00C83799"/>
    <w:rsid w:val="00C87C21"/>
    <w:rsid w:val="00C901D5"/>
    <w:rsid w:val="00CB2377"/>
    <w:rsid w:val="00CC591D"/>
    <w:rsid w:val="00CC7C7B"/>
    <w:rsid w:val="00CD4AD4"/>
    <w:rsid w:val="00CF3A75"/>
    <w:rsid w:val="00D06D1A"/>
    <w:rsid w:val="00D16E19"/>
    <w:rsid w:val="00D266F0"/>
    <w:rsid w:val="00D43E38"/>
    <w:rsid w:val="00D770F1"/>
    <w:rsid w:val="00DD2597"/>
    <w:rsid w:val="00DD48F5"/>
    <w:rsid w:val="00DE021B"/>
    <w:rsid w:val="00DE3617"/>
    <w:rsid w:val="00DE78C8"/>
    <w:rsid w:val="00E023E2"/>
    <w:rsid w:val="00E21083"/>
    <w:rsid w:val="00E2264D"/>
    <w:rsid w:val="00E50D27"/>
    <w:rsid w:val="00E52C65"/>
    <w:rsid w:val="00E7313C"/>
    <w:rsid w:val="00E8008D"/>
    <w:rsid w:val="00E8216F"/>
    <w:rsid w:val="00E942FC"/>
    <w:rsid w:val="00EB4F22"/>
    <w:rsid w:val="00EE119D"/>
    <w:rsid w:val="00EE2C14"/>
    <w:rsid w:val="00EF2744"/>
    <w:rsid w:val="00F05594"/>
    <w:rsid w:val="00F10C4B"/>
    <w:rsid w:val="00F25A2D"/>
    <w:rsid w:val="00F43D3F"/>
    <w:rsid w:val="00F57944"/>
    <w:rsid w:val="00F71B28"/>
    <w:rsid w:val="00F92904"/>
    <w:rsid w:val="00FF3D2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761C1528"/>
  <w15:chartTrackingRefBased/>
  <w15:docId w15:val="{6D11E308-1D93-464B-905F-56384531D8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61E1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61E1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61E1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61E1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61E1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61E1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61E1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61E1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61E1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1E1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61E1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61E1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61E1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61E1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61E1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61E1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61E1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61E16"/>
    <w:rPr>
      <w:rFonts w:eastAsiaTheme="majorEastAsia" w:cstheme="majorBidi"/>
      <w:color w:val="272727" w:themeColor="text1" w:themeTint="D8"/>
    </w:rPr>
  </w:style>
  <w:style w:type="paragraph" w:styleId="Title">
    <w:name w:val="Title"/>
    <w:basedOn w:val="Normal"/>
    <w:next w:val="Normal"/>
    <w:link w:val="TitleChar"/>
    <w:uiPriority w:val="10"/>
    <w:qFormat/>
    <w:rsid w:val="00361E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61E1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61E1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61E1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61E16"/>
    <w:pPr>
      <w:spacing w:before="160"/>
      <w:jc w:val="center"/>
    </w:pPr>
    <w:rPr>
      <w:i/>
      <w:iCs/>
      <w:color w:val="404040" w:themeColor="text1" w:themeTint="BF"/>
    </w:rPr>
  </w:style>
  <w:style w:type="character" w:customStyle="1" w:styleId="QuoteChar">
    <w:name w:val="Quote Char"/>
    <w:basedOn w:val="DefaultParagraphFont"/>
    <w:link w:val="Quote"/>
    <w:uiPriority w:val="29"/>
    <w:rsid w:val="00361E16"/>
    <w:rPr>
      <w:i/>
      <w:iCs/>
      <w:color w:val="404040" w:themeColor="text1" w:themeTint="BF"/>
    </w:rPr>
  </w:style>
  <w:style w:type="paragraph" w:styleId="ListParagraph">
    <w:name w:val="List Paragraph"/>
    <w:basedOn w:val="Normal"/>
    <w:uiPriority w:val="34"/>
    <w:qFormat/>
    <w:rsid w:val="00361E16"/>
    <w:pPr>
      <w:ind w:left="720"/>
      <w:contextualSpacing/>
    </w:pPr>
  </w:style>
  <w:style w:type="character" w:styleId="IntenseEmphasis">
    <w:name w:val="Intense Emphasis"/>
    <w:basedOn w:val="DefaultParagraphFont"/>
    <w:uiPriority w:val="21"/>
    <w:qFormat/>
    <w:rsid w:val="00361E16"/>
    <w:rPr>
      <w:i/>
      <w:iCs/>
      <w:color w:val="0F4761" w:themeColor="accent1" w:themeShade="BF"/>
    </w:rPr>
  </w:style>
  <w:style w:type="paragraph" w:styleId="IntenseQuote">
    <w:name w:val="Intense Quote"/>
    <w:basedOn w:val="Normal"/>
    <w:next w:val="Normal"/>
    <w:link w:val="IntenseQuoteChar"/>
    <w:uiPriority w:val="30"/>
    <w:qFormat/>
    <w:rsid w:val="00361E1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61E16"/>
    <w:rPr>
      <w:i/>
      <w:iCs/>
      <w:color w:val="0F4761" w:themeColor="accent1" w:themeShade="BF"/>
    </w:rPr>
  </w:style>
  <w:style w:type="character" w:styleId="IntenseReference">
    <w:name w:val="Intense Reference"/>
    <w:basedOn w:val="DefaultParagraphFont"/>
    <w:uiPriority w:val="32"/>
    <w:qFormat/>
    <w:rsid w:val="00361E16"/>
    <w:rPr>
      <w:b/>
      <w:bCs/>
      <w:smallCaps/>
      <w:color w:val="0F4761" w:themeColor="accent1" w:themeShade="BF"/>
      <w:spacing w:val="5"/>
    </w:rPr>
  </w:style>
  <w:style w:type="character" w:styleId="Hyperlink">
    <w:name w:val="Hyperlink"/>
    <w:basedOn w:val="DefaultParagraphFont"/>
    <w:uiPriority w:val="99"/>
    <w:unhideWhenUsed/>
    <w:rsid w:val="00E942FC"/>
    <w:rPr>
      <w:color w:val="467886" w:themeColor="hyperlink"/>
      <w:u w:val="single"/>
    </w:rPr>
  </w:style>
  <w:style w:type="character" w:styleId="UnresolvedMention">
    <w:name w:val="Unresolved Mention"/>
    <w:basedOn w:val="DefaultParagraphFont"/>
    <w:uiPriority w:val="99"/>
    <w:semiHidden/>
    <w:unhideWhenUsed/>
    <w:rsid w:val="00E942F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2959702">
      <w:bodyDiv w:val="1"/>
      <w:marLeft w:val="0"/>
      <w:marRight w:val="0"/>
      <w:marTop w:val="0"/>
      <w:marBottom w:val="0"/>
      <w:divBdr>
        <w:top w:val="none" w:sz="0" w:space="0" w:color="auto"/>
        <w:left w:val="none" w:sz="0" w:space="0" w:color="auto"/>
        <w:bottom w:val="none" w:sz="0" w:space="0" w:color="auto"/>
        <w:right w:val="none" w:sz="0" w:space="0" w:color="auto"/>
      </w:divBdr>
    </w:div>
    <w:div w:id="18645132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8239</Words>
  <Characters>46966</Characters>
  <Application>Microsoft Office Word</Application>
  <DocSecurity>0</DocSecurity>
  <Lines>391</Lines>
  <Paragraphs>110</Paragraphs>
  <ScaleCrop>false</ScaleCrop>
  <Company/>
  <LinksUpToDate>false</LinksUpToDate>
  <CharactersWithSpaces>55095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Imtiyaz Ahmad Batti</dc:creator>
  <cp:keywords/>
  <dc:description/>
  <cp:lastModifiedBy>Imtiyaz Ahmad Batti</cp:lastModifiedBy>
  <cp:revision>2</cp:revision>
  <dcterms:created xsi:type="dcterms:W3CDTF">2025-06-17T09:36:00Z</dcterms:created>
  <dcterms:modified xsi:type="dcterms:W3CDTF">2025-06-17T09:36:00Z</dcterms:modified>
</cp:coreProperties>
</file>