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675CE" w14:textId="3BC9C341" w:rsidR="00DD5421" w:rsidRPr="007D23CD" w:rsidRDefault="00DD5421" w:rsidP="00DD5421">
      <w:pPr>
        <w:rPr>
          <w:b/>
          <w:bCs/>
          <w:i/>
          <w:iCs/>
        </w:rPr>
      </w:pPr>
      <w:r w:rsidRPr="00DD5421">
        <w:rPr>
          <w:b/>
          <w:bCs/>
          <w:i/>
          <w:iCs/>
        </w:rPr>
        <w:t>II Diplomacy: Civil Society and Peacebuilding Between India and Pakistan</w:t>
      </w:r>
    </w:p>
    <w:p w14:paraId="5CB229F0" w14:textId="77777777" w:rsidR="00DD5421" w:rsidRPr="00DA69B4" w:rsidRDefault="00DD5421" w:rsidP="00DD5421">
      <w:pPr>
        <w:rPr>
          <w:b/>
          <w:bCs/>
          <w:i/>
          <w:iCs/>
        </w:rPr>
      </w:pPr>
      <w:r w:rsidRPr="00DA69B4">
        <w:rPr>
          <w:b/>
          <w:bCs/>
          <w:i/>
          <w:iCs/>
        </w:rPr>
        <w:t>Abstract</w:t>
      </w:r>
    </w:p>
    <w:p w14:paraId="1917DB86" w14:textId="29BF5756" w:rsidR="003D137A" w:rsidRDefault="003D137A" w:rsidP="003D137A">
      <w:r>
        <w:t>India and Pakistan have shared a protracted history of hostility, marked by wars, border skirmishes, and political standstills since their partition in 1947. Formal diplomatic channels, often disrupted by recurring tensions, have struggled to sustain long-term peace. In this challenging geopolitical context, Track II diplomacy—informal dialogue and engagement facilitated by civil society actors—has emerged as a crucial but under-recognized mechanism for promoting mutual understanding and peacebuilding.</w:t>
      </w:r>
    </w:p>
    <w:p w14:paraId="087A3231" w14:textId="4963DA36" w:rsidR="003D137A" w:rsidRDefault="003D137A" w:rsidP="003D137A">
      <w:r>
        <w:t xml:space="preserve">This paper critically examines the role of Track II diplomacy in India–Pakistan relations, with a particular focus on the contributions of civil society organizations, retired officials, media practitioners, academics, and youth exchange networks. Through qualitative analysis, including document review and case studies such as the </w:t>
      </w:r>
      <w:proofErr w:type="spellStart"/>
      <w:r>
        <w:t>Neemrana</w:t>
      </w:r>
      <w:proofErr w:type="spellEnd"/>
      <w:r>
        <w:t xml:space="preserve"> Dialogue, </w:t>
      </w:r>
      <w:proofErr w:type="spellStart"/>
      <w:r>
        <w:t>Aman</w:t>
      </w:r>
      <w:proofErr w:type="spellEnd"/>
      <w:r>
        <w:t xml:space="preserve"> Ki Asha, and SAFMA-led initiatives, the research explores how these efforts have fostered dialogue in times when official negotiations were suspended or politically infeasible.</w:t>
      </w:r>
    </w:p>
    <w:p w14:paraId="16A6446F" w14:textId="03D22E47" w:rsidR="003D137A" w:rsidRDefault="003D137A" w:rsidP="003D137A">
      <w:r>
        <w:t>The study finds that Track II initiatives contribute meaningfully to conflict transformation by challenging entrenched stereotypes, opening informal channels of communication, and creating a sustained constituency for peace on both sides. While these efforts are often marginalized in mainstream political narratives, they play a strategic role in reducing mistrust and setting the groundwork for future formal negotiations.</w:t>
      </w:r>
    </w:p>
    <w:p w14:paraId="1794E817" w14:textId="674701B4" w:rsidR="003D137A" w:rsidRDefault="003D137A" w:rsidP="003D137A">
      <w:r>
        <w:t>However, the paper also highlights key challenges facing Track II diplomacy: lack of institutional support, limited visibility, security restrictions, and an absence of systematic integration with Track I processes. Despite these constraints, the resilience and adaptability of civil society actors demonstrate that people-to-people engagement remains one of the few consistent and constructive paths toward peace.</w:t>
      </w:r>
    </w:p>
    <w:p w14:paraId="05E9F039" w14:textId="5043C6C4" w:rsidR="00DA69B4" w:rsidRDefault="003D137A" w:rsidP="00DD5421">
      <w:r>
        <w:t>the paper calls for a more structured, well-funded, and state-supported approach to Track II diplomacy that complements formal channels. Institutionalizing such efforts can strengthen the broader architecture of peacebuilding and contribute to a more stable South Asian region.</w:t>
      </w:r>
    </w:p>
    <w:p w14:paraId="57395472" w14:textId="77777777" w:rsidR="00DD5421" w:rsidRDefault="00DD5421" w:rsidP="00DD5421">
      <w:r w:rsidRPr="00DD5421">
        <w:rPr>
          <w:b/>
          <w:bCs/>
          <w:i/>
          <w:iCs/>
        </w:rPr>
        <w:t>Keywords</w:t>
      </w:r>
      <w:r>
        <w:t>: Track II diplomacy, India-Pakistan relations, civil society, peacebuilding, conflict resolution, cross-border dialogue</w:t>
      </w:r>
    </w:p>
    <w:p w14:paraId="6CFF71BE" w14:textId="0D25EF35" w:rsidR="00DD5421" w:rsidRPr="00C114D3" w:rsidRDefault="00C114D3" w:rsidP="00DD5421">
      <w:pPr>
        <w:rPr>
          <w:b/>
          <w:bCs/>
          <w:i/>
          <w:iCs/>
        </w:rPr>
      </w:pPr>
      <w:r w:rsidRPr="00C114D3">
        <w:rPr>
          <w:b/>
          <w:bCs/>
          <w:i/>
          <w:iCs/>
        </w:rPr>
        <w:t xml:space="preserve">Introduction </w:t>
      </w:r>
    </w:p>
    <w:p w14:paraId="6A439C6F" w14:textId="3F14226A" w:rsidR="00E9721D" w:rsidRDefault="00E9721D" w:rsidP="00E9721D">
      <w:r>
        <w:t xml:space="preserve">The relationship between India and Pakistan has been fraught with conflict, mistrust, and intermittent diplomatic breakdowns since their partition in 1947. Despite several bilateral talks and formal agreements, including the </w:t>
      </w:r>
      <w:proofErr w:type="spellStart"/>
      <w:r>
        <w:t>Simla</w:t>
      </w:r>
      <w:proofErr w:type="spellEnd"/>
      <w:r>
        <w:t xml:space="preserve"> Agreement (1972) and the Lahore </w:t>
      </w:r>
      <w:r>
        <w:lastRenderedPageBreak/>
        <w:t>Declaration (1999), sustained peace has remained elusive. Political rivalries, territorial disputes over Kashmir, and incidents of terrorism have repeatedly derailed official negotiations—commonly referred to as Track I diplomacy. In this persistent climate of hostility, informal and unofficial dialogue—known as Track II diplomacy—has emerged as a parallel and vital approach to peacebuilding.</w:t>
      </w:r>
    </w:p>
    <w:p w14:paraId="1576723F" w14:textId="29A79667" w:rsidR="00E9721D" w:rsidRDefault="00E9721D" w:rsidP="00E9721D">
      <w:r>
        <w:t>Track II diplomacy involves non-governmental actors, including retired diplomats, military officials, academics, journalists, and civil society organizations. These initiatives aim to promote mutual understanding, reduce misperceptions, and facilitate the exchange of ideas in a less rigid and politically constrained environment. Unlike formal diplomacy, which is bound by protocol and state agendas, Track II diplomacy creates flexible spaces for dialogue, innovation, and empathy-building.</w:t>
      </w:r>
    </w:p>
    <w:p w14:paraId="170327D0" w14:textId="6702FC9B" w:rsidR="00E9721D" w:rsidRDefault="00E9721D" w:rsidP="00E9721D">
      <w:r>
        <w:t xml:space="preserve">In the India-Pakistan context, Track II engagements such as the </w:t>
      </w:r>
      <w:proofErr w:type="spellStart"/>
      <w:r>
        <w:t>Neemrana</w:t>
      </w:r>
      <w:proofErr w:type="spellEnd"/>
      <w:r>
        <w:t xml:space="preserve"> Dialogue, the </w:t>
      </w:r>
      <w:proofErr w:type="spellStart"/>
      <w:r>
        <w:t>Pugwash</w:t>
      </w:r>
      <w:proofErr w:type="spellEnd"/>
      <w:r>
        <w:t xml:space="preserve"> Conferences, and civil society-led campaigns like </w:t>
      </w:r>
      <w:proofErr w:type="spellStart"/>
      <w:r>
        <w:t>Aman</w:t>
      </w:r>
      <w:proofErr w:type="spellEnd"/>
      <w:r>
        <w:t xml:space="preserve"> Ki Asha have provided critical platforms for sustained engagement during periods of diplomatic deadlock. These initiatives not only keep communication channels open but also contribute to conflict transformation by humanizing "the other," building trust, and influencing public opinion.</w:t>
      </w:r>
    </w:p>
    <w:p w14:paraId="7ED52929" w14:textId="2D801D48" w:rsidR="00E9721D" w:rsidRDefault="00E9721D" w:rsidP="00DD5421">
      <w:r>
        <w:t>This paper explores the evolution, structure, and effectiveness of Track II diplomacy between India and Pakistan, focusing on the role of civil society actors in shaping alternative peace narratives. It also examines the challenges these initiatives face, including political resistance, funding limitations, and security constraints. The central argument is that while Track II diplomacy is not a substitute for formal negotiations, it plays an indispensable role in supporting long-term peace and stability in the region.</w:t>
      </w:r>
    </w:p>
    <w:p w14:paraId="62A1EB07" w14:textId="65872F37" w:rsidR="00985023" w:rsidRPr="007242A9" w:rsidRDefault="00985023" w:rsidP="00985023">
      <w:pPr>
        <w:rPr>
          <w:b/>
          <w:bCs/>
          <w:i/>
          <w:iCs/>
        </w:rPr>
      </w:pPr>
      <w:r w:rsidRPr="00D2786F">
        <w:rPr>
          <w:b/>
          <w:bCs/>
          <w:i/>
          <w:iCs/>
        </w:rPr>
        <w:t>Literature Review</w:t>
      </w:r>
    </w:p>
    <w:p w14:paraId="51CC9CAD" w14:textId="751996FB" w:rsidR="00985023" w:rsidRDefault="00985023" w:rsidP="00985023">
      <w:r>
        <w:t>Track II diplomacy emerged as a response to the limitations of traditional, state-centric diplomatic practices in resolving protracted conflicts. The term was first introduced by Joseph Montville (1981), who defined it as informal, non-official interaction aimed at building relationships and encouraging new thinking that can inform official policy. Montville argued that Track II diplomacy allows for greater flexibility, creativity, and psychological insight in conflict resolution—attributes often missing in formal negotiations constrained by political mandates.</w:t>
      </w:r>
    </w:p>
    <w:p w14:paraId="66BE583F" w14:textId="23D34775" w:rsidR="00985023" w:rsidRDefault="00985023" w:rsidP="00985023">
      <w:r>
        <w:t xml:space="preserve">Harold Saunders advanced the concept further by introducing “sustained dialogue,” a process through which citizens from conflicting parties engage in long-term discussions to identify underlying causes of hostility and build mutual understanding. John Paul </w:t>
      </w:r>
      <w:proofErr w:type="spellStart"/>
      <w:r>
        <w:t>Lederach</w:t>
      </w:r>
      <w:proofErr w:type="spellEnd"/>
      <w:r>
        <w:t xml:space="preserve"> (1997) contributed to the field by emphasizing the role of mid-level leadership—such as civil society organizations, academics, and retired officials—in building peace from the </w:t>
      </w:r>
      <w:r>
        <w:lastRenderedPageBreak/>
        <w:t>bottom up. His conflict transformation framework promotes a holistic approach that integrates personal, relational, structural, and cultural aspects of conflict.</w:t>
      </w:r>
    </w:p>
    <w:p w14:paraId="1CC81E50" w14:textId="4EBFBDC1" w:rsidR="00985023" w:rsidRDefault="00985023" w:rsidP="00985023">
      <w:r>
        <w:t xml:space="preserve">In the South Asian context, particularly between India and Pakistan, the utility of Track II diplomacy has been recognized in both academic literature and policy circles. </w:t>
      </w:r>
      <w:proofErr w:type="spellStart"/>
      <w:r>
        <w:t>Kanti</w:t>
      </w:r>
      <w:proofErr w:type="spellEnd"/>
      <w:r>
        <w:t xml:space="preserve"> </w:t>
      </w:r>
      <w:proofErr w:type="spellStart"/>
      <w:r>
        <w:t>Bajpai</w:t>
      </w:r>
      <w:proofErr w:type="spellEnd"/>
      <w:r>
        <w:t xml:space="preserve"> (2003) identified Track II efforts as critical supplements to Track I diplomacy, particularly during times of political impasse. He </w:t>
      </w:r>
      <w:proofErr w:type="spellStart"/>
      <w:r>
        <w:t>analyzed</w:t>
      </w:r>
      <w:proofErr w:type="spellEnd"/>
      <w:r>
        <w:t xml:space="preserve"> dialogues such as the </w:t>
      </w:r>
      <w:proofErr w:type="spellStart"/>
      <w:r>
        <w:t>Neemrana</w:t>
      </w:r>
      <w:proofErr w:type="spellEnd"/>
      <w:r>
        <w:t xml:space="preserve"> Initiative, which brought together influential retired diplomats, military officials, and scholars from both countries for off-the-record discussions on contentious issues like Kashmir, trade, and nuclear policy.</w:t>
      </w:r>
    </w:p>
    <w:p w14:paraId="443F9FFB" w14:textId="77777777" w:rsidR="00985023" w:rsidRDefault="00985023" w:rsidP="00985023">
      <w:r>
        <w:t>Studies by P.R. Chari and Hasan-</w:t>
      </w:r>
      <w:proofErr w:type="spellStart"/>
      <w:r>
        <w:t>Askari</w:t>
      </w:r>
      <w:proofErr w:type="spellEnd"/>
      <w:r>
        <w:t xml:space="preserve"> Rizvi (2005) examined the role of civil society dialogues in the post-</w:t>
      </w:r>
      <w:proofErr w:type="spellStart"/>
      <w:r>
        <w:t>Kargil</w:t>
      </w:r>
      <w:proofErr w:type="spellEnd"/>
      <w:r>
        <w:t xml:space="preserve"> era. Their findings suggest that although these dialogues are unofficial, they often serve as backchannel communications that inform Track I negotiations indirectly. Furthermore, Track II processes can help de-escalate tensions by generating trust and mutual understanding at a human level, often absent in hostile media and political narratives.</w:t>
      </w:r>
    </w:p>
    <w:p w14:paraId="2783BF73" w14:textId="77777777" w:rsidR="00985023" w:rsidRDefault="00985023" w:rsidP="00985023">
      <w:r>
        <w:t xml:space="preserve">Other scholars have explored thematic subfields within Track II diplomacy. For instance, </w:t>
      </w:r>
      <w:proofErr w:type="spellStart"/>
      <w:r>
        <w:t>Siraj</w:t>
      </w:r>
      <w:proofErr w:type="spellEnd"/>
      <w:r>
        <w:t xml:space="preserve"> (2009) focused on media cooperation between Indian and Pakistani journalists through organizations like the South Asia Free Media Association (SAFMA), noting how cross-border reporting and joint workshops promote more balanced and peace-oriented coverage. Sinha (2020) examined youth exchange programs and cultural diplomacy efforts, such as </w:t>
      </w:r>
      <w:proofErr w:type="spellStart"/>
      <w:r>
        <w:t>Aman</w:t>
      </w:r>
      <w:proofErr w:type="spellEnd"/>
      <w:r>
        <w:t xml:space="preserve"> Ki Asha and Routes2Roots, arguing that these initiatives humanize the "other" and build long-term constituencies for peace.</w:t>
      </w:r>
    </w:p>
    <w:p w14:paraId="045475D9" w14:textId="77777777" w:rsidR="00985023" w:rsidRDefault="00985023" w:rsidP="00985023"/>
    <w:p w14:paraId="3CE898F9" w14:textId="35D198B3" w:rsidR="00985023" w:rsidRDefault="00985023" w:rsidP="00985023">
      <w:r>
        <w:t xml:space="preserve">However, several critiques of Track II diplomacy have also emerged. </w:t>
      </w:r>
      <w:proofErr w:type="spellStart"/>
      <w:r>
        <w:t>Misra</w:t>
      </w:r>
      <w:proofErr w:type="spellEnd"/>
      <w:r>
        <w:t xml:space="preserve"> (2014) contends that these initiatives often operate in silos, lack coordination, and are highly susceptible to political climates. Without institutional support from either state, their influence on policymaking remains limited. The episodic nature of dialogues—often disrupted by terror attacks or military escalations—further limits continuity and measurable impact.</w:t>
      </w:r>
    </w:p>
    <w:p w14:paraId="5E88EFFD" w14:textId="36C72857" w:rsidR="00E9721D" w:rsidRDefault="00985023" w:rsidP="00DD5421">
      <w:r>
        <w:t>Despite these challenges, the existing literature broadly agrees that Track II diplomacy serves as a critical complement to official peace processes. It fills the void left by Track I diplomacy during periods of political deadlock, creates a space for innovative problem-solving, and fosters societal-level engagement with the peace agenda. As such, it remains an essential, if underutilized, tool in India-Pakistan conflict transformation efforts.</w:t>
      </w:r>
    </w:p>
    <w:p w14:paraId="6AE26ACF" w14:textId="1A98784B" w:rsidR="00B725DE" w:rsidRPr="00884753" w:rsidRDefault="00B725DE" w:rsidP="00B725DE">
      <w:pPr>
        <w:rPr>
          <w:b/>
          <w:bCs/>
          <w:i/>
          <w:iCs/>
        </w:rPr>
      </w:pPr>
      <w:r w:rsidRPr="00884753">
        <w:rPr>
          <w:b/>
          <w:bCs/>
          <w:i/>
          <w:iCs/>
        </w:rPr>
        <w:t>Research Methodology</w:t>
      </w:r>
    </w:p>
    <w:p w14:paraId="0B287952" w14:textId="77777777" w:rsidR="00B725DE" w:rsidRDefault="00B725DE" w:rsidP="00B725DE">
      <w:r>
        <w:lastRenderedPageBreak/>
        <w:t xml:space="preserve">This research employs a qualitative, multi-case study methodology to explore the role of Track II diplomacy in fostering peace between India and Pakistan. The methodological design is shaped by </w:t>
      </w:r>
      <w:proofErr w:type="spellStart"/>
      <w:r>
        <w:t>interpretivist</w:t>
      </w:r>
      <w:proofErr w:type="spellEnd"/>
      <w:r>
        <w:t xml:space="preserve"> epistemology, privileging context-specific understanding of how informal diplomatic initiatives function, evolve, and influence both policy and public discourse. This section outlines the study’s design, case selection criteria, data collection techniques, analytical framework, and ethical considerations.</w:t>
      </w:r>
    </w:p>
    <w:p w14:paraId="02781740" w14:textId="7EF724A8" w:rsidR="00B725DE" w:rsidRDefault="00B725DE" w:rsidP="00B725DE">
      <w:r w:rsidRPr="007242A9">
        <w:rPr>
          <w:b/>
          <w:bCs/>
          <w:i/>
          <w:iCs/>
        </w:rPr>
        <w:t>Research Design</w:t>
      </w:r>
    </w:p>
    <w:p w14:paraId="05B608E7" w14:textId="24AB59A1" w:rsidR="00B725DE" w:rsidRDefault="00B725DE" w:rsidP="00B725DE">
      <w:r>
        <w:t>This study adopts a qualitative, exploratory case study approach. The complexity of Track II diplomacy, which involves informal, often non-linear processes led by non-state actors, is best examined through an in-depth qualitative lens. The case study method enables a rich, contextualized understanding of different forms of peacebuilding across the India–Pakistan divide.</w:t>
      </w:r>
    </w:p>
    <w:p w14:paraId="6C659E87" w14:textId="3380277D" w:rsidR="00B725DE" w:rsidRDefault="00B725DE" w:rsidP="00DD5421">
      <w:r>
        <w:t>The research is interpretive in nature, aiming to understand meanings, motivations, and mechanisms within Track II efforts, rather than test formal hypotheses. This design is particularly appropriate for studying diplomacy conducted outside the formal structures of the state.</w:t>
      </w:r>
    </w:p>
    <w:p w14:paraId="5592421B" w14:textId="79BDC73C" w:rsidR="00BF5A1C" w:rsidRPr="00E7183A" w:rsidRDefault="00BF5A1C" w:rsidP="00BF5A1C">
      <w:pPr>
        <w:rPr>
          <w:b/>
          <w:bCs/>
          <w:i/>
          <w:iCs/>
        </w:rPr>
      </w:pPr>
      <w:r w:rsidRPr="00E7183A">
        <w:rPr>
          <w:b/>
          <w:bCs/>
          <w:i/>
          <w:iCs/>
        </w:rPr>
        <w:t xml:space="preserve"> Case Selection</w:t>
      </w:r>
    </w:p>
    <w:p w14:paraId="5D5A9802" w14:textId="31A99138" w:rsidR="00BF5A1C" w:rsidRDefault="00BF5A1C" w:rsidP="00BF5A1C">
      <w:r>
        <w:t>The selection of case studies is a critical component of this research, as it shapes the depth, relevance, and analytical rigor of the inquiry into Track II diplomacy between India and Pakistan. This study adopts a purposive, typological case selection strategy, guided by both theoretical considerations and practical relevance. The aim is to examine a diverse set of initiatives that collectively illustrate the breadth of informal diplomatic efforts led by civil society actors.</w:t>
      </w:r>
    </w:p>
    <w:p w14:paraId="77865BB7" w14:textId="77777777" w:rsidR="00BF5A1C" w:rsidRDefault="00BF5A1C" w:rsidP="00BF5A1C">
      <w:r>
        <w:t>This section outlines the rationale for case study methodology, the criteria used for case selection, the justification for each selected case, and how their combined analysis contributes to the overall research objectives.</w:t>
      </w:r>
    </w:p>
    <w:p w14:paraId="7054DED0" w14:textId="1B1A4D25" w:rsidR="00BF5A1C" w:rsidRDefault="00BF5A1C" w:rsidP="00BF5A1C">
      <w:r w:rsidRPr="0092116E">
        <w:rPr>
          <w:b/>
          <w:bCs/>
          <w:i/>
          <w:iCs/>
        </w:rPr>
        <w:t>Rationale for Case Study Approach</w:t>
      </w:r>
    </w:p>
    <w:p w14:paraId="01A5060C" w14:textId="4DE8EA13" w:rsidR="00BF5A1C" w:rsidRDefault="00BF5A1C" w:rsidP="00626822">
      <w:pPr>
        <w:pStyle w:val="ListParagraph"/>
        <w:numPr>
          <w:ilvl w:val="0"/>
          <w:numId w:val="1"/>
        </w:numPr>
      </w:pPr>
      <w:r>
        <w:t>Given the complexity and context-specificity of Track II diplomacy—often informal, multi-stakeholder, and difficult to quantify—a qualitative case study approach is best suited to unpack the dynamics at play. This approach allows the researcher to:</w:t>
      </w:r>
    </w:p>
    <w:p w14:paraId="2D3FD676" w14:textId="189EFEE3" w:rsidR="00BF5A1C" w:rsidRDefault="00BF5A1C" w:rsidP="00BF5A1C">
      <w:pPr>
        <w:pStyle w:val="ListParagraph"/>
        <w:numPr>
          <w:ilvl w:val="0"/>
          <w:numId w:val="1"/>
        </w:numPr>
      </w:pPr>
      <w:r>
        <w:t>Explore the historical evolution, internal structure, and strategic aims of each initiative.</w:t>
      </w:r>
    </w:p>
    <w:p w14:paraId="4BE62975" w14:textId="2C1B7084" w:rsidR="00BF5A1C" w:rsidRDefault="00BF5A1C" w:rsidP="00626822">
      <w:pPr>
        <w:pStyle w:val="ListParagraph"/>
        <w:numPr>
          <w:ilvl w:val="0"/>
          <w:numId w:val="1"/>
        </w:numPr>
      </w:pPr>
      <w:r>
        <w:t>Understand how non-state actors engage with issues of peace and conflict in bilateral settings.</w:t>
      </w:r>
    </w:p>
    <w:p w14:paraId="4572708B" w14:textId="0A839193" w:rsidR="00BF5A1C" w:rsidRDefault="00BF5A1C" w:rsidP="00626822">
      <w:pPr>
        <w:pStyle w:val="ListParagraph"/>
        <w:numPr>
          <w:ilvl w:val="0"/>
          <w:numId w:val="1"/>
        </w:numPr>
      </w:pPr>
      <w:r>
        <w:lastRenderedPageBreak/>
        <w:t>Examine both direct and indirect impacts on official diplomacy and public discourse.</w:t>
      </w:r>
    </w:p>
    <w:p w14:paraId="525465FA" w14:textId="77777777" w:rsidR="00BF5A1C" w:rsidRDefault="00BF5A1C" w:rsidP="00626822">
      <w:pPr>
        <w:pStyle w:val="ListParagraph"/>
        <w:numPr>
          <w:ilvl w:val="0"/>
          <w:numId w:val="1"/>
        </w:numPr>
      </w:pPr>
      <w:r>
        <w:t>Each case represents a distinct modality of Track II diplomacy and provides insight into different mechanisms through which peacebuilding operates outside formal state channels.</w:t>
      </w:r>
    </w:p>
    <w:p w14:paraId="412EF1FC" w14:textId="161B1B7E" w:rsidR="00BF5A1C" w:rsidRDefault="00BF5A1C" w:rsidP="00BF5A1C">
      <w:r w:rsidRPr="0092116E">
        <w:rPr>
          <w:b/>
          <w:bCs/>
          <w:i/>
          <w:iCs/>
        </w:rPr>
        <w:t>Criteria for Case Selection</w:t>
      </w:r>
      <w:r w:rsidR="00D201C4">
        <w:t xml:space="preserve">: </w:t>
      </w:r>
      <w:r>
        <w:t>The following criteria were used to select the three cases included in this study:</w:t>
      </w:r>
    </w:p>
    <w:p w14:paraId="4A282D23" w14:textId="49238564" w:rsidR="00BF5A1C" w:rsidRPr="00B4230F" w:rsidRDefault="00BF5A1C" w:rsidP="00B4230F">
      <w:pPr>
        <w:pStyle w:val="ListParagraph"/>
        <w:numPr>
          <w:ilvl w:val="0"/>
          <w:numId w:val="4"/>
        </w:numPr>
        <w:rPr>
          <w:b/>
          <w:bCs/>
          <w:i/>
          <w:iCs/>
        </w:rPr>
      </w:pPr>
      <w:r w:rsidRPr="00B4230F">
        <w:rPr>
          <w:b/>
          <w:bCs/>
          <w:i/>
          <w:iCs/>
        </w:rPr>
        <w:t>Issue Relevance</w:t>
      </w:r>
      <w:r w:rsidR="00D201C4" w:rsidRPr="00B4230F">
        <w:rPr>
          <w:b/>
          <w:bCs/>
          <w:i/>
          <w:iCs/>
        </w:rPr>
        <w:t xml:space="preserve">:  </w:t>
      </w:r>
      <w:r>
        <w:t>The initiative must directly address or influence India–Pakistan relations, whether through strategic dialogue, cultural exchange, or media engagement.</w:t>
      </w:r>
    </w:p>
    <w:p w14:paraId="4592BC03" w14:textId="526BAB94" w:rsidR="009F25CA" w:rsidRPr="00B4230F" w:rsidRDefault="00BF5A1C" w:rsidP="00B4230F">
      <w:pPr>
        <w:pStyle w:val="ListParagraph"/>
        <w:numPr>
          <w:ilvl w:val="0"/>
          <w:numId w:val="4"/>
        </w:numPr>
        <w:rPr>
          <w:b/>
          <w:bCs/>
          <w:i/>
          <w:iCs/>
        </w:rPr>
      </w:pPr>
      <w:r w:rsidRPr="00B4230F">
        <w:rPr>
          <w:b/>
          <w:bCs/>
          <w:i/>
          <w:iCs/>
        </w:rPr>
        <w:t>Modal Diversity</w:t>
      </w:r>
      <w:r w:rsidR="00D201C4" w:rsidRPr="00B4230F">
        <w:rPr>
          <w:b/>
          <w:bCs/>
          <w:i/>
          <w:iCs/>
        </w:rPr>
        <w:t xml:space="preserve">:  </w:t>
      </w:r>
      <w:r>
        <w:t>Cases were selected to represent different Track II formats—including elite-level dialogue, media-led public diplomacy, and regional professional networking.</w:t>
      </w:r>
    </w:p>
    <w:p w14:paraId="25FAA267" w14:textId="1C46074C" w:rsidR="00BF5A1C" w:rsidRPr="00B4230F" w:rsidRDefault="00BF5A1C" w:rsidP="00B4230F">
      <w:pPr>
        <w:pStyle w:val="ListParagraph"/>
        <w:numPr>
          <w:ilvl w:val="0"/>
          <w:numId w:val="4"/>
        </w:numPr>
        <w:rPr>
          <w:b/>
          <w:bCs/>
          <w:i/>
          <w:iCs/>
        </w:rPr>
      </w:pPr>
      <w:r w:rsidRPr="00B4230F">
        <w:rPr>
          <w:b/>
          <w:bCs/>
          <w:i/>
          <w:iCs/>
        </w:rPr>
        <w:t>Operational Maturity and Continuity</w:t>
      </w:r>
      <w:r w:rsidR="009F25CA" w:rsidRPr="00B4230F">
        <w:rPr>
          <w:b/>
          <w:bCs/>
          <w:i/>
          <w:iCs/>
        </w:rPr>
        <w:t xml:space="preserve">: </w:t>
      </w:r>
      <w:r w:rsidR="009F25CA">
        <w:t xml:space="preserve"> </w:t>
      </w:r>
      <w:r>
        <w:t>Preference was given to initiatives that have demonstrated sustained engagement over time, enabling longitudinal analysis of influence and resilience.</w:t>
      </w:r>
    </w:p>
    <w:p w14:paraId="6D858A73" w14:textId="6C6CB270" w:rsidR="00BF5A1C" w:rsidRPr="00B4230F" w:rsidRDefault="00BF5A1C" w:rsidP="00B4230F">
      <w:pPr>
        <w:pStyle w:val="ListParagraph"/>
        <w:numPr>
          <w:ilvl w:val="0"/>
          <w:numId w:val="4"/>
        </w:numPr>
        <w:rPr>
          <w:b/>
          <w:bCs/>
          <w:i/>
          <w:iCs/>
        </w:rPr>
      </w:pPr>
      <w:r w:rsidRPr="00B4230F">
        <w:rPr>
          <w:b/>
          <w:bCs/>
          <w:i/>
          <w:iCs/>
        </w:rPr>
        <w:t>Documentary Availability</w:t>
      </w:r>
      <w:r w:rsidR="009F25CA" w:rsidRPr="00B4230F">
        <w:rPr>
          <w:b/>
          <w:bCs/>
          <w:i/>
          <w:iCs/>
        </w:rPr>
        <w:t xml:space="preserve"> : </w:t>
      </w:r>
      <w:r>
        <w:t>Sufficient secondary data—such as reports, media coverage, academic analysis, and participant commentary—must be available for meaningful analysis.</w:t>
      </w:r>
    </w:p>
    <w:p w14:paraId="10FD6C48" w14:textId="019D37C7" w:rsidR="00BF5A1C" w:rsidRPr="00B4230F" w:rsidRDefault="00BF5A1C" w:rsidP="00B4230F">
      <w:pPr>
        <w:pStyle w:val="ListParagraph"/>
        <w:numPr>
          <w:ilvl w:val="0"/>
          <w:numId w:val="4"/>
        </w:numPr>
        <w:rPr>
          <w:b/>
          <w:bCs/>
          <w:i/>
          <w:iCs/>
        </w:rPr>
      </w:pPr>
      <w:r w:rsidRPr="00B4230F">
        <w:rPr>
          <w:b/>
          <w:bCs/>
          <w:i/>
          <w:iCs/>
        </w:rPr>
        <w:t>Policy or Public Resonance</w:t>
      </w:r>
    </w:p>
    <w:p w14:paraId="457095A0" w14:textId="28753AC4" w:rsidR="00E003C7" w:rsidRPr="003069B7" w:rsidRDefault="00BF5A1C" w:rsidP="00BF5A1C">
      <w:pPr>
        <w:pStyle w:val="ListParagraph"/>
        <w:numPr>
          <w:ilvl w:val="0"/>
          <w:numId w:val="4"/>
        </w:numPr>
      </w:pPr>
      <w:r>
        <w:t>The initiative should exhibit some level of impact or recognition, whether in influencing Track I diplomacy, shaping media narratives, or fostering cross-border collaboration.</w:t>
      </w:r>
    </w:p>
    <w:p w14:paraId="1DB88901" w14:textId="0BB4D54B" w:rsidR="009C1F05" w:rsidRPr="009C1F05" w:rsidRDefault="009C1F05" w:rsidP="009C1F05">
      <w:pPr>
        <w:rPr>
          <w:b/>
          <w:bCs/>
          <w:i/>
          <w:iCs/>
        </w:rPr>
      </w:pPr>
      <w:r w:rsidRPr="009C1F05">
        <w:rPr>
          <w:b/>
          <w:bCs/>
          <w:i/>
          <w:iCs/>
        </w:rPr>
        <w:t>Selected Cases</w:t>
      </w:r>
    </w:p>
    <w:p w14:paraId="21EE0614" w14:textId="53D34C13" w:rsidR="009C1F05" w:rsidRPr="004F5F51" w:rsidRDefault="009C1F05" w:rsidP="009C1F05">
      <w:r w:rsidRPr="004F5F51">
        <w:t xml:space="preserve">To examine the multifaceted practice of Track II diplomacy between India and Pakistan, this study focuses on three emblematic initiatives: the </w:t>
      </w:r>
      <w:proofErr w:type="spellStart"/>
      <w:r w:rsidRPr="004F5F51">
        <w:t>Neemrana</w:t>
      </w:r>
      <w:proofErr w:type="spellEnd"/>
      <w:r w:rsidRPr="004F5F51">
        <w:t xml:space="preserve"> Dialogue, </w:t>
      </w:r>
      <w:proofErr w:type="spellStart"/>
      <w:r w:rsidRPr="004F5F51">
        <w:t>Aman</w:t>
      </w:r>
      <w:proofErr w:type="spellEnd"/>
      <w:r w:rsidRPr="004F5F51">
        <w:t xml:space="preserve"> Ki Asha, and the South Asia Free Media Association (SAFMA). These cases were selected based on their representational diversity, thematic relevance, strategic significance, and the varying modalities through which they engage with the peacebuilding process.</w:t>
      </w:r>
    </w:p>
    <w:p w14:paraId="21F4CD02" w14:textId="10A5F8C5" w:rsidR="009C1F05" w:rsidRPr="004F5F51" w:rsidRDefault="009C1F05" w:rsidP="009C1F05">
      <w:r w:rsidRPr="004F5F51">
        <w:t xml:space="preserve">Each initiative embodies a distinct dimension of informal diplomacy. The </w:t>
      </w:r>
      <w:proofErr w:type="spellStart"/>
      <w:r w:rsidRPr="004F5F51">
        <w:t>Neemrana</w:t>
      </w:r>
      <w:proofErr w:type="spellEnd"/>
      <w:r w:rsidRPr="004F5F51">
        <w:t xml:space="preserve"> Dialogue represents elite-level, strategic engagement among retired officials and policy experts. </w:t>
      </w:r>
      <w:proofErr w:type="spellStart"/>
      <w:r w:rsidRPr="004F5F51">
        <w:t>Aman</w:t>
      </w:r>
      <w:proofErr w:type="spellEnd"/>
      <w:r w:rsidRPr="004F5F51">
        <w:t xml:space="preserve"> Ki Asha reflects media-driven public diplomacy aimed at reshaping societal narratives and fostering cross-border understanding. SAFMA, as a civil society-led platform, emphasizes professional collaboration and regional cooperation among media practitioners.</w:t>
      </w:r>
    </w:p>
    <w:p w14:paraId="38A88008" w14:textId="326C0D80" w:rsidR="009C1F05" w:rsidRPr="004F5F51" w:rsidRDefault="009C1F05" w:rsidP="009C1F05">
      <w:r w:rsidRPr="004F5F51">
        <w:lastRenderedPageBreak/>
        <w:t>Collectively, these cases capture a broad spectrum of Track II engagement—ranging from high-level policy dialogue to mass-mediated public interaction and civil society networking. Their comparative analysis allows for a nuanced understanding of how informal diplomatic efforts can complement, supplement, or even substitute formal diplomatic channels, particularly in contexts marked by protracted conflict and political volatility.</w:t>
      </w:r>
    </w:p>
    <w:p w14:paraId="6D0B7487" w14:textId="3AA74BCF" w:rsidR="004F5F51" w:rsidRDefault="009C1F05" w:rsidP="00BF5A1C">
      <w:r w:rsidRPr="004F5F51">
        <w:t xml:space="preserve">The following sections </w:t>
      </w:r>
      <w:proofErr w:type="spellStart"/>
      <w:r w:rsidRPr="004F5F51">
        <w:t>analyze</w:t>
      </w:r>
      <w:proofErr w:type="spellEnd"/>
      <w:r w:rsidRPr="004F5F51">
        <w:t xml:space="preserve"> each initiative in detail, assessing their origins, institutional structures, thematic focus areas, key contributions, and limitations within the broader landscape of India–Pakistan relations.</w:t>
      </w:r>
    </w:p>
    <w:p w14:paraId="728D3551" w14:textId="5AAA9407" w:rsidR="00F73411" w:rsidRPr="005C7AA5" w:rsidRDefault="00F73411" w:rsidP="00F73411">
      <w:pPr>
        <w:rPr>
          <w:b/>
          <w:bCs/>
          <w:i/>
          <w:iCs/>
        </w:rPr>
      </w:pPr>
      <w:r w:rsidRPr="005C7AA5">
        <w:rPr>
          <w:b/>
          <w:bCs/>
          <w:i/>
          <w:iCs/>
        </w:rPr>
        <w:t xml:space="preserve"> Analysis</w:t>
      </w:r>
      <w:r w:rsidR="005C7AA5" w:rsidRPr="005C7AA5">
        <w:rPr>
          <w:b/>
          <w:bCs/>
          <w:i/>
          <w:iCs/>
        </w:rPr>
        <w:t xml:space="preserve"> </w:t>
      </w:r>
    </w:p>
    <w:p w14:paraId="6AA65266" w14:textId="25A81644" w:rsidR="00F73411" w:rsidRDefault="00F73411" w:rsidP="00F73411">
      <w:r>
        <w:t>The three selected initiatives—</w:t>
      </w:r>
      <w:proofErr w:type="spellStart"/>
      <w:r>
        <w:t>Neemrana</w:t>
      </w:r>
      <w:proofErr w:type="spellEnd"/>
      <w:r>
        <w:t xml:space="preserve"> Dialogue, </w:t>
      </w:r>
      <w:proofErr w:type="spellStart"/>
      <w:r>
        <w:t>Aman</w:t>
      </w:r>
      <w:proofErr w:type="spellEnd"/>
      <w:r>
        <w:t xml:space="preserve"> Ki Asha, and the South Asia Free Media Association (SAFMA)—represent diverse models of Track II diplomacy between India and Pakistan. While differing in structure, constituency, and operational logic, these cases collectively illustrate the layered and complementary nature of informal peacebuilding efforts in a context marked by high-stakes rivalry and frequent breakdowns in formal diplomacy. A comparative analysis of these initiatives reveals critical insights across five key dimensions: actor profile, modal orientation, issue focus, impact mechanisms, and sustainability challenges.</w:t>
      </w:r>
    </w:p>
    <w:p w14:paraId="5C1CFF1B" w14:textId="753A7244" w:rsidR="00F73411" w:rsidRDefault="00F73411" w:rsidP="00F73411">
      <w:r>
        <w:t xml:space="preserve">1. </w:t>
      </w:r>
      <w:r w:rsidRPr="004872FE">
        <w:rPr>
          <w:b/>
          <w:bCs/>
          <w:i/>
          <w:iCs/>
        </w:rPr>
        <w:t xml:space="preserve">Actor Profile: </w:t>
      </w:r>
      <w:r>
        <w:t>From Strategic Elites to Civil Society and Mass Publics</w:t>
      </w:r>
    </w:p>
    <w:p w14:paraId="6E793809" w14:textId="3E1AD03F" w:rsidR="00F73411" w:rsidRDefault="00F73411" w:rsidP="00F73411">
      <w:r>
        <w:t>Each initiative draws upon a distinct set of stakeholders, reflecting the pluralistic nature of Track II engagement:</w:t>
      </w:r>
    </w:p>
    <w:p w14:paraId="107B49E3" w14:textId="01CA2699" w:rsidR="00F73411" w:rsidRDefault="00F73411" w:rsidP="00F73411">
      <w:proofErr w:type="spellStart"/>
      <w:r>
        <w:t>Neemrana</w:t>
      </w:r>
      <w:proofErr w:type="spellEnd"/>
      <w:r>
        <w:t xml:space="preserve"> Dialogue is comprised predominantly of strategic elites—retired diplomats, military personnel, intelligence officials, and policy scholars. These actors possess deep institutional knowledge and proximity to official policymaking structures, thereby enabling credible discussions on sensitive and high-level issues.</w:t>
      </w:r>
    </w:p>
    <w:p w14:paraId="587D4A48" w14:textId="173CC24F" w:rsidR="00F73411" w:rsidRDefault="00F73411" w:rsidP="00F73411">
      <w:proofErr w:type="spellStart"/>
      <w:r>
        <w:t>Aman</w:t>
      </w:r>
      <w:proofErr w:type="spellEnd"/>
      <w:r>
        <w:t xml:space="preserve"> Ki Asha targets a broader public constituency, leveraging the outreach capacity of mass media to involve artists, businesspersons, educators, and youth in peace messaging. Its audience-centric model stands in contrast to the insular nature of elite dialogues.</w:t>
      </w:r>
    </w:p>
    <w:p w14:paraId="7A273BC9" w14:textId="1FBAFD0A" w:rsidR="00F73411" w:rsidRDefault="00F73411" w:rsidP="00F73411">
      <w:r>
        <w:t>SAFMA engages professional civil society actors, particularly journalists and media practitioners. As a cross-border epistemic community, SAFMA situates its peacebuilding mission within the domain of journalistic ethics, regional cooperation, and norm entrepreneurship.</w:t>
      </w:r>
    </w:p>
    <w:p w14:paraId="464E2017" w14:textId="7DDD9631" w:rsidR="00F73411" w:rsidRDefault="00F73411" w:rsidP="00F73411">
      <w:r>
        <w:t>This variation in actor composition is crucial for fostering multi-scalar engagement with peace—from top-level security concerns to grassroots public perception.</w:t>
      </w:r>
    </w:p>
    <w:p w14:paraId="1BC37166" w14:textId="125D8E55" w:rsidR="00F73411" w:rsidRDefault="00F73411" w:rsidP="00F73411">
      <w:r w:rsidRPr="00245460">
        <w:rPr>
          <w:b/>
          <w:bCs/>
          <w:i/>
          <w:iCs/>
        </w:rPr>
        <w:lastRenderedPageBreak/>
        <w:t>2. Modal Orientation</w:t>
      </w:r>
      <w:r>
        <w:t>: Strategic, Cultural, and Normative</w:t>
      </w:r>
    </w:p>
    <w:p w14:paraId="05126FDD" w14:textId="597A348F" w:rsidR="00F73411" w:rsidRDefault="00F73411" w:rsidP="00F73411">
      <w:r>
        <w:t>The initiatives diverge in their operational modalities and underlying logics:</w:t>
      </w:r>
    </w:p>
    <w:p w14:paraId="2DD71A51" w14:textId="0A0E1CA1" w:rsidR="00F73411" w:rsidRDefault="00F73411" w:rsidP="00F73411">
      <w:r>
        <w:t>Strategic-Oriented Modality (</w:t>
      </w:r>
      <w:proofErr w:type="spellStart"/>
      <w:r>
        <w:t>Neemrana</w:t>
      </w:r>
      <w:proofErr w:type="spellEnd"/>
      <w:r>
        <w:t>): Functions as a quasi-diplomatic backchannel that facilitates candid, low-risk discussions on national security, conflict management, and confidence-building measures.</w:t>
      </w:r>
    </w:p>
    <w:p w14:paraId="5B49EFD0" w14:textId="14F1531F" w:rsidR="00F73411" w:rsidRDefault="00F73411" w:rsidP="00F73411">
      <w:r>
        <w:t>Cultural-Economic Modality (</w:t>
      </w:r>
      <w:proofErr w:type="spellStart"/>
      <w:r>
        <w:t>Aman</w:t>
      </w:r>
      <w:proofErr w:type="spellEnd"/>
      <w:r>
        <w:t xml:space="preserve"> Ki Asha): Employs cultural diplomacy and economic interdependence as vehicles for fostering public goodwill and counteracting hostile media narratives.</w:t>
      </w:r>
    </w:p>
    <w:p w14:paraId="2860AE15" w14:textId="2DD7BFA2" w:rsidR="00F73411" w:rsidRDefault="00F73411" w:rsidP="00F73411">
      <w:r>
        <w:t>Normative-Institutional Modality (SAFMA): Promotes long-term norm-building within media ecosystems, advocating for conflict-sensitive journalism and regional media collaboration.</w:t>
      </w:r>
    </w:p>
    <w:p w14:paraId="33866C87" w14:textId="2A637FE7" w:rsidR="00F73411" w:rsidRDefault="00F73411" w:rsidP="00F73411">
      <w:r>
        <w:t xml:space="preserve">These modalities are not mutually exclusive but rather synergistic. For instance, ideas incubated in </w:t>
      </w:r>
      <w:proofErr w:type="spellStart"/>
      <w:r>
        <w:t>Neemrana</w:t>
      </w:r>
      <w:proofErr w:type="spellEnd"/>
      <w:r>
        <w:t xml:space="preserve"> may be amplified through initiatives like </w:t>
      </w:r>
      <w:proofErr w:type="spellStart"/>
      <w:r>
        <w:t>Aman</w:t>
      </w:r>
      <w:proofErr w:type="spellEnd"/>
      <w:r>
        <w:t xml:space="preserve"> Ki Asha, while SAFMA’s emphasis on ethical journalism reinforces the communicative environment within which both elite and public diplomacy operate.</w:t>
      </w:r>
    </w:p>
    <w:p w14:paraId="2629B780" w14:textId="7794EFBD" w:rsidR="00F73411" w:rsidRDefault="00F73411" w:rsidP="00F73411">
      <w:r w:rsidRPr="001F290F">
        <w:rPr>
          <w:b/>
          <w:bCs/>
          <w:i/>
          <w:iCs/>
        </w:rPr>
        <w:t xml:space="preserve">3. Issue Focus: </w:t>
      </w:r>
      <w:r>
        <w:t>Overlapping and Specialized Agendas</w:t>
      </w:r>
    </w:p>
    <w:p w14:paraId="7DAF6CFD" w14:textId="7184B141" w:rsidR="00F73411" w:rsidRPr="00873C19" w:rsidRDefault="00F73411" w:rsidP="00F73411">
      <w:r w:rsidRPr="00873C19">
        <w:t>The thematic agendas of the three cases show both convergence and divergence:</w:t>
      </w:r>
    </w:p>
    <w:p w14:paraId="4F5F8851" w14:textId="22929AC3" w:rsidR="00F73411" w:rsidRPr="00873C19" w:rsidRDefault="00F73411" w:rsidP="00F73411">
      <w:r w:rsidRPr="00873C19">
        <w:t>Commonalities include a shared interest in de-escalating hostility, promoting mutual understanding, and institutionalizing peace discourse across societal levels.</w:t>
      </w:r>
    </w:p>
    <w:p w14:paraId="3F5215D2" w14:textId="3293F2B5" w:rsidR="00F73411" w:rsidRDefault="00F73411" w:rsidP="00F73411">
      <w:r w:rsidRPr="00873C19">
        <w:t xml:space="preserve">Specializations are equally evident: </w:t>
      </w:r>
      <w:proofErr w:type="spellStart"/>
      <w:r w:rsidRPr="00873C19">
        <w:t>Neemrana</w:t>
      </w:r>
      <w:proofErr w:type="spellEnd"/>
      <w:r w:rsidRPr="00873C19">
        <w:t xml:space="preserve"> focuses on nuclear risk, counterterrorism, and high-level policy coordination; </w:t>
      </w:r>
      <w:proofErr w:type="spellStart"/>
      <w:r w:rsidRPr="00873C19">
        <w:t>Aman</w:t>
      </w:r>
      <w:proofErr w:type="spellEnd"/>
      <w:r w:rsidRPr="00873C19">
        <w:t xml:space="preserve"> Ki Asha emphasizes public narratives, economic cooperation, and cross-cultural empathy; SAFMA prioritizes journalistic integrity, media</w:t>
      </w:r>
      <w:r>
        <w:t xml:space="preserve"> freedoms, and the ethics of conflict reporting.</w:t>
      </w:r>
    </w:p>
    <w:p w14:paraId="0B2580D6" w14:textId="370CEDA1" w:rsidR="00F73411" w:rsidRDefault="00F73411" w:rsidP="00F73411">
      <w:r>
        <w:t xml:space="preserve">Together, these differentiated focal points ensure that Track II diplomacy does not remain </w:t>
      </w:r>
      <w:proofErr w:type="spellStart"/>
      <w:r>
        <w:t>siloed</w:t>
      </w:r>
      <w:proofErr w:type="spellEnd"/>
      <w:r>
        <w:t xml:space="preserve"> but addresses the multifaceted nature of India–Pakistan antagonism.</w:t>
      </w:r>
    </w:p>
    <w:p w14:paraId="0E8592A9" w14:textId="680114BA" w:rsidR="00F73411" w:rsidRDefault="00F73411" w:rsidP="00F73411">
      <w:r w:rsidRPr="00B83D0D">
        <w:rPr>
          <w:b/>
          <w:bCs/>
          <w:i/>
          <w:iCs/>
        </w:rPr>
        <w:t>4. Mechanisms of Impact: Direct, Indirect, and Normativ</w:t>
      </w:r>
      <w:r w:rsidRPr="00B83D0D">
        <w:t>e</w:t>
      </w:r>
    </w:p>
    <w:p w14:paraId="0C922373" w14:textId="6F6B53C5" w:rsidR="00F73411" w:rsidRDefault="00F73411" w:rsidP="00F73411">
      <w:r>
        <w:t>The initiatives differ in how they exert influence over peace processes:</w:t>
      </w:r>
    </w:p>
    <w:p w14:paraId="4569A445" w14:textId="4C956E49" w:rsidR="00F73411" w:rsidRDefault="00F73411" w:rsidP="00F73411">
      <w:pPr>
        <w:pStyle w:val="ListParagraph"/>
        <w:numPr>
          <w:ilvl w:val="0"/>
          <w:numId w:val="40"/>
        </w:numPr>
      </w:pPr>
      <w:proofErr w:type="spellStart"/>
      <w:r>
        <w:t>Neemrana</w:t>
      </w:r>
      <w:proofErr w:type="spellEnd"/>
      <w:r>
        <w:t xml:space="preserve"> often serves as a direct influencer of Track I diplomacy. Although its proceedings are informal, participants frequently brief policymakers, thereby shaping governmental attitudes and responses.</w:t>
      </w:r>
    </w:p>
    <w:p w14:paraId="3C8B57EC" w14:textId="42C73869" w:rsidR="00F73411" w:rsidRDefault="00F73411" w:rsidP="00F73411">
      <w:pPr>
        <w:pStyle w:val="ListParagraph"/>
        <w:numPr>
          <w:ilvl w:val="0"/>
          <w:numId w:val="40"/>
        </w:numPr>
      </w:pPr>
      <w:proofErr w:type="spellStart"/>
      <w:r>
        <w:t>Aman</w:t>
      </w:r>
      <w:proofErr w:type="spellEnd"/>
      <w:r>
        <w:t xml:space="preserve"> Ki Asha acts as an indirect influencer, shifting public sentiment and enlarging the discursive space for peace. It functions through media framing, social psychology, and cultural resonance.</w:t>
      </w:r>
    </w:p>
    <w:p w14:paraId="690A5877" w14:textId="766B2CE1" w:rsidR="00F73411" w:rsidRDefault="00F73411" w:rsidP="00F6511C">
      <w:pPr>
        <w:pStyle w:val="ListParagraph"/>
        <w:numPr>
          <w:ilvl w:val="0"/>
          <w:numId w:val="40"/>
        </w:numPr>
      </w:pPr>
      <w:r>
        <w:lastRenderedPageBreak/>
        <w:t>SAFMA exerts normative influence by embedding peace-promoting values within professional communities and fostering long-term epistemic shifts in how conflict is represented.</w:t>
      </w:r>
    </w:p>
    <w:p w14:paraId="487CA13E" w14:textId="33D5B233" w:rsidR="00F73411" w:rsidRDefault="00F73411" w:rsidP="00F73411">
      <w:r>
        <w:t>These varying impact pathways demonstrate that Track II diplomacy should not be judged solely by immediate outcomes but also by its cumulative influence on perceptions, norms, and political feasibility.</w:t>
      </w:r>
    </w:p>
    <w:p w14:paraId="7042B032" w14:textId="77777777" w:rsidR="00F73411" w:rsidRPr="00B83D0D" w:rsidRDefault="00F73411" w:rsidP="00F73411">
      <w:pPr>
        <w:rPr>
          <w:b/>
          <w:bCs/>
          <w:i/>
          <w:iCs/>
        </w:rPr>
      </w:pPr>
      <w:r w:rsidRPr="00B83D0D">
        <w:rPr>
          <w:b/>
          <w:bCs/>
          <w:i/>
          <w:iCs/>
        </w:rPr>
        <w:t>5. Sustainability and Institutional Resilience</w:t>
      </w:r>
    </w:p>
    <w:p w14:paraId="496E64DA" w14:textId="77777777" w:rsidR="00F73411" w:rsidRDefault="00F73411" w:rsidP="00F73411"/>
    <w:p w14:paraId="7E381290" w14:textId="7F2E6E87" w:rsidR="00F73411" w:rsidRDefault="00F73411" w:rsidP="00F73411">
      <w:r>
        <w:t>The sustainability of each initiative is shaped by political, financial, and institutional dynamics:</w:t>
      </w:r>
    </w:p>
    <w:p w14:paraId="02D963A8" w14:textId="7E2219CE" w:rsidR="00F73411" w:rsidRDefault="00F73411" w:rsidP="002C7C58">
      <w:pPr>
        <w:pStyle w:val="ListParagraph"/>
        <w:numPr>
          <w:ilvl w:val="0"/>
          <w:numId w:val="39"/>
        </w:numPr>
      </w:pPr>
      <w:proofErr w:type="spellStart"/>
      <w:r>
        <w:t>Neemrana’s</w:t>
      </w:r>
      <w:proofErr w:type="spellEnd"/>
      <w:r>
        <w:t xml:space="preserve"> longevity is attributable to its low-profile nature, strong institutional networks, and third-party support. However, it remains vulnerable to visa restrictions, political backlash, and strategic shifts.</w:t>
      </w:r>
    </w:p>
    <w:p w14:paraId="2F1945B4" w14:textId="73BC08F7" w:rsidR="00F73411" w:rsidRDefault="00F73411" w:rsidP="002C7C58">
      <w:pPr>
        <w:pStyle w:val="ListParagraph"/>
        <w:numPr>
          <w:ilvl w:val="0"/>
          <w:numId w:val="39"/>
        </w:numPr>
      </w:pPr>
      <w:proofErr w:type="spellStart"/>
      <w:r>
        <w:t>Aman</w:t>
      </w:r>
      <w:proofErr w:type="spellEnd"/>
      <w:r>
        <w:t xml:space="preserve"> Ki Asha, while initially high-impact, suffered from waning corporate interest and increasing politicization, limiting its lifespan. Its lack of institutional anchoring made it susceptible to market and geopolitical fluctuations.</w:t>
      </w:r>
    </w:p>
    <w:p w14:paraId="49E8D789" w14:textId="0FA821BC" w:rsidR="00F73411" w:rsidRDefault="00F73411" w:rsidP="002C7C58">
      <w:pPr>
        <w:pStyle w:val="ListParagraph"/>
        <w:numPr>
          <w:ilvl w:val="0"/>
          <w:numId w:val="39"/>
        </w:numPr>
      </w:pPr>
      <w:r>
        <w:t>SAFMA, anchored in civil society and embedded in transnational media networks, has demonstrated moderate resilience but faces operational challenges due to increasing restrictions on press freedom and civil society in both countries.</w:t>
      </w:r>
    </w:p>
    <w:p w14:paraId="489B2E55" w14:textId="04A19018" w:rsidR="00F73411" w:rsidRDefault="00F73411" w:rsidP="00BF5A1C">
      <w:r>
        <w:t>The comparison underscores the importance of hybrid institutional design—combining elite access, mass engagement, and normative frameworks—to build durable peace infrastructures.</w:t>
      </w:r>
    </w:p>
    <w:p w14:paraId="1A725CA9" w14:textId="2610EE37" w:rsidR="00E25562" w:rsidRPr="007A3632" w:rsidRDefault="00E25562" w:rsidP="00E25562">
      <w:pPr>
        <w:rPr>
          <w:b/>
          <w:bCs/>
          <w:i/>
          <w:iCs/>
        </w:rPr>
      </w:pPr>
      <w:r w:rsidRPr="006565E6">
        <w:rPr>
          <w:b/>
          <w:bCs/>
          <w:i/>
          <w:iCs/>
        </w:rPr>
        <w:t>Policy Recommendations</w:t>
      </w:r>
    </w:p>
    <w:p w14:paraId="4772005E" w14:textId="03515350" w:rsidR="00E25562" w:rsidRDefault="00E25562" w:rsidP="00E25562">
      <w:r>
        <w:t>Given the insights gained from the historical and functional analysis of Track II diplomacy between India and Pakistan, it is clear that while the space for civil society-led peacebuilding is valuable, it remains underutilized and under threat. The following policy recommendations aim to strengthen the impact, inclusivity, and sustainability of Track II initiatives and embed them more strategically into the broader peace process.</w:t>
      </w:r>
    </w:p>
    <w:p w14:paraId="33962A00" w14:textId="5E7B348E" w:rsidR="00E25562" w:rsidRPr="00FE4948" w:rsidRDefault="00E25562" w:rsidP="00E25562">
      <w:pPr>
        <w:rPr>
          <w:b/>
          <w:bCs/>
          <w:i/>
          <w:iCs/>
        </w:rPr>
      </w:pPr>
      <w:r w:rsidRPr="00715220">
        <w:rPr>
          <w:b/>
          <w:bCs/>
          <w:i/>
          <w:iCs/>
        </w:rPr>
        <w:t>9.1 For the Governments of India and Pakistan</w:t>
      </w:r>
    </w:p>
    <w:p w14:paraId="3DF28610" w14:textId="4C143938" w:rsidR="00E25562" w:rsidRDefault="00E25562" w:rsidP="00E25562">
      <w:pPr>
        <w:pStyle w:val="ListParagraph"/>
        <w:numPr>
          <w:ilvl w:val="0"/>
          <w:numId w:val="31"/>
        </w:numPr>
      </w:pPr>
      <w:r>
        <w:t>Institutionalize Support for Track II Engagement</w:t>
      </w:r>
      <w:r w:rsidR="00380F5E">
        <w:t xml:space="preserve">: </w:t>
      </w:r>
      <w:r>
        <w:t xml:space="preserve">Establish dedicated liaison cells within the Ministries of External Affairs to engage with Track II actors, </w:t>
      </w:r>
      <w:proofErr w:type="spellStart"/>
      <w:r>
        <w:t>analyze</w:t>
      </w:r>
      <w:proofErr w:type="spellEnd"/>
      <w:r>
        <w:t xml:space="preserve"> their inputs, and explore ways of integrating viable proposals into Track I diplomatic efforts.</w:t>
      </w:r>
    </w:p>
    <w:p w14:paraId="5D1F666C" w14:textId="696496D6" w:rsidR="00E25562" w:rsidRDefault="00E25562" w:rsidP="00E25562">
      <w:pPr>
        <w:pStyle w:val="ListParagraph"/>
        <w:numPr>
          <w:ilvl w:val="0"/>
          <w:numId w:val="31"/>
        </w:numPr>
      </w:pPr>
      <w:r>
        <w:lastRenderedPageBreak/>
        <w:t xml:space="preserve">Create Special Visa Regimes for </w:t>
      </w:r>
      <w:proofErr w:type="spellStart"/>
      <w:r w:rsidR="00380F5E">
        <w:t>Peacebuilders</w:t>
      </w:r>
      <w:proofErr w:type="spellEnd"/>
      <w:r w:rsidR="00380F5E">
        <w:t xml:space="preserve"> : </w:t>
      </w:r>
      <w:r>
        <w:t xml:space="preserve">Introduce cross-border </w:t>
      </w:r>
      <w:proofErr w:type="spellStart"/>
      <w:r>
        <w:t>peacebuilder</w:t>
      </w:r>
      <w:proofErr w:type="spellEnd"/>
      <w:r>
        <w:t xml:space="preserve"> visas for journalists, academics, artists, and civil society leaders engaged in approved Track II initiatives. This would reduce bureaucratic delays and allow for continuity in dialogue.</w:t>
      </w:r>
    </w:p>
    <w:p w14:paraId="4EA71DB8" w14:textId="1AA33060" w:rsidR="00E25562" w:rsidRDefault="00E25562" w:rsidP="00E25562">
      <w:pPr>
        <w:pStyle w:val="ListParagraph"/>
        <w:numPr>
          <w:ilvl w:val="0"/>
          <w:numId w:val="31"/>
        </w:numPr>
      </w:pPr>
      <w:r>
        <w:t>Refrain from Politicizing Civil Society Initiatives</w:t>
      </w:r>
      <w:r w:rsidR="00380F5E">
        <w:t xml:space="preserve">: </w:t>
      </w:r>
      <w:r>
        <w:t>Recognize the autonomy and legitimacy of non-state actors as contributors to national security and regional peace. States must avoid framing peace efforts as anti-national or subversive.</w:t>
      </w:r>
    </w:p>
    <w:p w14:paraId="1A15A5D6" w14:textId="58EB6463" w:rsidR="00E25562" w:rsidRDefault="00E25562" w:rsidP="00E25562">
      <w:pPr>
        <w:pStyle w:val="ListParagraph"/>
        <w:numPr>
          <w:ilvl w:val="0"/>
          <w:numId w:val="31"/>
        </w:numPr>
      </w:pPr>
      <w:r>
        <w:t>Facilitate Track 1.5 Dialogues</w:t>
      </w:r>
      <w:r w:rsidR="00715220">
        <w:t xml:space="preserve">: </w:t>
      </w:r>
      <w:r>
        <w:t>Encourage semi-official forums where retired and serving government officials can interact with civil society, think tanks, and academia in a structured and safe environment to bridge the Track I–Track II divide.</w:t>
      </w:r>
    </w:p>
    <w:p w14:paraId="33884FEF" w14:textId="0828BB2C" w:rsidR="00E25562" w:rsidRPr="00FE4948" w:rsidRDefault="00E25562" w:rsidP="00E25562">
      <w:pPr>
        <w:rPr>
          <w:b/>
          <w:bCs/>
          <w:i/>
          <w:iCs/>
        </w:rPr>
      </w:pPr>
      <w:r w:rsidRPr="00715220">
        <w:rPr>
          <w:b/>
          <w:bCs/>
          <w:i/>
          <w:iCs/>
        </w:rPr>
        <w:t>9.2 For Civil Society and Track II Practitioners</w:t>
      </w:r>
    </w:p>
    <w:p w14:paraId="6D53B1BE" w14:textId="4A738E8F" w:rsidR="00E25562" w:rsidRDefault="00E25562" w:rsidP="00E25562">
      <w:pPr>
        <w:pStyle w:val="ListParagraph"/>
        <w:numPr>
          <w:ilvl w:val="0"/>
          <w:numId w:val="33"/>
        </w:numPr>
      </w:pPr>
      <w:r>
        <w:t>Broaden Participation and Inclusion</w:t>
      </w:r>
      <w:r w:rsidR="00715220">
        <w:t xml:space="preserve">: </w:t>
      </w:r>
      <w:r>
        <w:t>Ensure representation of youth, women, and marginalized communities in peace dialogues to improve legitimacy and long-term impact. Programs should be designed in local languages and sensitive to grassroots realities.</w:t>
      </w:r>
    </w:p>
    <w:p w14:paraId="3ED6BECF" w14:textId="7E801733" w:rsidR="00E25562" w:rsidRDefault="00E25562" w:rsidP="00FE4948">
      <w:pPr>
        <w:pStyle w:val="ListParagraph"/>
        <w:numPr>
          <w:ilvl w:val="0"/>
          <w:numId w:val="33"/>
        </w:numPr>
      </w:pPr>
      <w:r>
        <w:t>Build Sustainable Platforms</w:t>
      </w:r>
    </w:p>
    <w:p w14:paraId="2E8766A9" w14:textId="3B400259" w:rsidR="00E25562" w:rsidRDefault="00E25562" w:rsidP="00E25562">
      <w:pPr>
        <w:pStyle w:val="ListParagraph"/>
        <w:numPr>
          <w:ilvl w:val="0"/>
          <w:numId w:val="33"/>
        </w:numPr>
      </w:pPr>
      <w:r>
        <w:t xml:space="preserve">Move beyond ad hoc events to create institutional platforms such as joint research </w:t>
      </w:r>
      <w:proofErr w:type="spellStart"/>
      <w:r>
        <w:t>centers</w:t>
      </w:r>
      <w:proofErr w:type="spellEnd"/>
      <w:r>
        <w:t>, regional peace institutes, and digital media collaborations that can carry the peace agenda forward irrespective of political fluctuations.</w:t>
      </w:r>
    </w:p>
    <w:p w14:paraId="1B7A3085" w14:textId="5C040429" w:rsidR="00E25562" w:rsidRDefault="00E25562" w:rsidP="00FE4948">
      <w:pPr>
        <w:pStyle w:val="ListParagraph"/>
        <w:numPr>
          <w:ilvl w:val="0"/>
          <w:numId w:val="33"/>
        </w:numPr>
      </w:pPr>
      <w:r>
        <w:t>Enhance Transparency and Public Engagement</w:t>
      </w:r>
    </w:p>
    <w:p w14:paraId="28AA76C7" w14:textId="0C6CEF20" w:rsidR="00E25562" w:rsidRDefault="00E25562" w:rsidP="00E25562">
      <w:pPr>
        <w:pStyle w:val="ListParagraph"/>
        <w:numPr>
          <w:ilvl w:val="0"/>
          <w:numId w:val="33"/>
        </w:numPr>
      </w:pPr>
      <w:r>
        <w:t>Disseminate outcomes, learning materials, and success stories from Track II dialogues more widely to build public trust and increase societal buy-in.</w:t>
      </w:r>
    </w:p>
    <w:p w14:paraId="2E9B80FE" w14:textId="14DFC2F8" w:rsidR="00E25562" w:rsidRDefault="00E25562" w:rsidP="00FE4948">
      <w:pPr>
        <w:pStyle w:val="ListParagraph"/>
        <w:numPr>
          <w:ilvl w:val="0"/>
          <w:numId w:val="33"/>
        </w:numPr>
      </w:pPr>
      <w:r>
        <w:t>Strengthen Digital Capacity and Resilience</w:t>
      </w:r>
    </w:p>
    <w:p w14:paraId="69DA9793" w14:textId="4769881B" w:rsidR="00E25562" w:rsidRDefault="00E25562" w:rsidP="00E25562">
      <w:pPr>
        <w:pStyle w:val="ListParagraph"/>
        <w:numPr>
          <w:ilvl w:val="0"/>
          <w:numId w:val="33"/>
        </w:numPr>
      </w:pPr>
      <w:r>
        <w:t>Train Track II actors in digital diplomacy, cybersecurity, and counter-disinformation practices. Engage proactively with online audiences to challenge conflict-promoting narratives with constructive alternatives.</w:t>
      </w:r>
    </w:p>
    <w:p w14:paraId="4E4B8547" w14:textId="54B66A75" w:rsidR="00E25562" w:rsidRPr="00896135" w:rsidRDefault="00E25562" w:rsidP="00E25562">
      <w:pPr>
        <w:rPr>
          <w:b/>
          <w:bCs/>
          <w:i/>
          <w:iCs/>
        </w:rPr>
      </w:pPr>
      <w:r w:rsidRPr="007A3632">
        <w:rPr>
          <w:b/>
          <w:bCs/>
          <w:i/>
          <w:iCs/>
        </w:rPr>
        <w:t>9.3 For International Donors and Regional Organizations</w:t>
      </w:r>
    </w:p>
    <w:p w14:paraId="4244CE09" w14:textId="064B24DB" w:rsidR="00E25562" w:rsidRDefault="00E25562" w:rsidP="007A3632">
      <w:pPr>
        <w:pStyle w:val="ListParagraph"/>
        <w:numPr>
          <w:ilvl w:val="0"/>
          <w:numId w:val="35"/>
        </w:numPr>
      </w:pPr>
      <w:r>
        <w:t>Provide Long-Term, Flexible Funding</w:t>
      </w:r>
    </w:p>
    <w:p w14:paraId="6E884F93" w14:textId="17DCF000" w:rsidR="00E25562" w:rsidRDefault="00E25562" w:rsidP="00E25562">
      <w:pPr>
        <w:pStyle w:val="ListParagraph"/>
        <w:numPr>
          <w:ilvl w:val="0"/>
          <w:numId w:val="35"/>
        </w:numPr>
      </w:pPr>
      <w:r>
        <w:t xml:space="preserve">Avoid short-term project-based funding models in </w:t>
      </w:r>
      <w:proofErr w:type="spellStart"/>
      <w:r>
        <w:t>favor</w:t>
      </w:r>
      <w:proofErr w:type="spellEnd"/>
      <w:r>
        <w:t xml:space="preserve"> of core institutional support for peacebuilding organizations. This ensures continuity and allows for adaptive strategies during crises.</w:t>
      </w:r>
    </w:p>
    <w:p w14:paraId="7E61A240" w14:textId="2CC50B5D" w:rsidR="00E25562" w:rsidRDefault="00E25562" w:rsidP="007A3632">
      <w:pPr>
        <w:pStyle w:val="ListParagraph"/>
        <w:numPr>
          <w:ilvl w:val="0"/>
          <w:numId w:val="35"/>
        </w:numPr>
      </w:pPr>
      <w:r>
        <w:t>Serve as Neutral Conveners</w:t>
      </w:r>
    </w:p>
    <w:p w14:paraId="09C1069B" w14:textId="3EBA96BC" w:rsidR="00E25562" w:rsidRDefault="00E25562" w:rsidP="00E25562">
      <w:pPr>
        <w:pStyle w:val="ListParagraph"/>
        <w:numPr>
          <w:ilvl w:val="0"/>
          <w:numId w:val="35"/>
        </w:numPr>
      </w:pPr>
      <w:r>
        <w:t>Institutions like the UN, Commonwealth, ASEAN, and the EU can host neutral, offshore dialogues and provide safe spaces for Indian and Pakistani civil society actors to interact.</w:t>
      </w:r>
    </w:p>
    <w:p w14:paraId="4D271A23" w14:textId="56C10EEC" w:rsidR="00E25562" w:rsidRDefault="00E25562" w:rsidP="007A3632">
      <w:pPr>
        <w:pStyle w:val="ListParagraph"/>
        <w:numPr>
          <w:ilvl w:val="0"/>
          <w:numId w:val="35"/>
        </w:numPr>
      </w:pPr>
      <w:r>
        <w:lastRenderedPageBreak/>
        <w:t>Support Monitoring and Evaluation Frameworks</w:t>
      </w:r>
    </w:p>
    <w:p w14:paraId="6FC1EA23" w14:textId="6BEB8B4D" w:rsidR="00E25562" w:rsidRDefault="00E25562" w:rsidP="00E25562">
      <w:pPr>
        <w:pStyle w:val="ListParagraph"/>
        <w:numPr>
          <w:ilvl w:val="0"/>
          <w:numId w:val="35"/>
        </w:numPr>
      </w:pPr>
      <w:r>
        <w:t>Fund the development of tools to evaluate the long-term impact of Track II initiatives using both qualitative and quantitative indicators. This improves accountability and policy relevance.</w:t>
      </w:r>
    </w:p>
    <w:p w14:paraId="7D403A9F" w14:textId="6A7D32E2" w:rsidR="00E25562" w:rsidRDefault="00E25562" w:rsidP="007A3632">
      <w:pPr>
        <w:pStyle w:val="ListParagraph"/>
        <w:numPr>
          <w:ilvl w:val="0"/>
          <w:numId w:val="35"/>
        </w:numPr>
      </w:pPr>
      <w:r>
        <w:t>Promote Regional Collaboration and Learning</w:t>
      </w:r>
    </w:p>
    <w:p w14:paraId="74722583" w14:textId="57B65827" w:rsidR="00E25562" w:rsidRDefault="00E25562" w:rsidP="00E25562">
      <w:pPr>
        <w:pStyle w:val="ListParagraph"/>
        <w:numPr>
          <w:ilvl w:val="0"/>
          <w:numId w:val="35"/>
        </w:numPr>
      </w:pPr>
      <w:r>
        <w:t>Facilitate learning exchanges with Track II practitioners in other conflict zones (e.g., Israel–Palestine, Northern Ireland, Balkans) to transfer skills and strategic insights across contexts.</w:t>
      </w:r>
    </w:p>
    <w:p w14:paraId="777A7ACE" w14:textId="7606BB72" w:rsidR="00DC1B5C" w:rsidRPr="004967AC" w:rsidRDefault="00DC1B5C" w:rsidP="00DC1B5C">
      <w:pPr>
        <w:rPr>
          <w:b/>
          <w:bCs/>
          <w:i/>
          <w:iCs/>
        </w:rPr>
      </w:pPr>
      <w:r w:rsidRPr="004967AC">
        <w:rPr>
          <w:b/>
          <w:bCs/>
          <w:i/>
          <w:iCs/>
        </w:rPr>
        <w:t>Conclusion</w:t>
      </w:r>
    </w:p>
    <w:p w14:paraId="3E45BEF4" w14:textId="6D2EDB61" w:rsidR="00DC1B5C" w:rsidRDefault="00DC1B5C" w:rsidP="00DC1B5C">
      <w:r>
        <w:t xml:space="preserve">Track II diplomacy has emerged as a vital yet underutilized dimension of peacebuilding between India and Pakistan, offering an alternative space for dialogue in a bilateral relationship often characterized by mistrust, militarization, and political inertia. This study has explored the nature, scope, and impact of informal diplomatic efforts—particularly those driven by civil society, retired officials, media actors, and professional networks—through in-depth analysis of three prominent case studies: the </w:t>
      </w:r>
      <w:proofErr w:type="spellStart"/>
      <w:r>
        <w:t>Neemrana</w:t>
      </w:r>
      <w:proofErr w:type="spellEnd"/>
      <w:r>
        <w:t xml:space="preserve"> Dialogue, </w:t>
      </w:r>
      <w:proofErr w:type="spellStart"/>
      <w:r>
        <w:t>Aman</w:t>
      </w:r>
      <w:proofErr w:type="spellEnd"/>
      <w:r>
        <w:t xml:space="preserve"> Ki Asha, and the South Asia Free Media Association (SAFMA).</w:t>
      </w:r>
    </w:p>
    <w:p w14:paraId="14BB5E46" w14:textId="77777777" w:rsidR="00DC1B5C" w:rsidRDefault="00DC1B5C" w:rsidP="00DC1B5C">
      <w:r>
        <w:t xml:space="preserve">The evidence presented demonstrates that Track II initiatives play a significant role in maintaining lines of communication, humanizing the "other," incubating policy innovations, and fostering a culture of peace. These forums have proven especially resilient during periods of heightened hostility, when formal diplomacy has stalled or collapsed. The </w:t>
      </w:r>
      <w:proofErr w:type="spellStart"/>
      <w:r>
        <w:t>Neemrana</w:t>
      </w:r>
      <w:proofErr w:type="spellEnd"/>
      <w:r>
        <w:t xml:space="preserve"> Dialogue has sustained elite-level strategic engagement; </w:t>
      </w:r>
      <w:proofErr w:type="spellStart"/>
      <w:r>
        <w:t>Aman</w:t>
      </w:r>
      <w:proofErr w:type="spellEnd"/>
      <w:r>
        <w:t xml:space="preserve"> Ki Asha has mobilized mass media to challenge antagonistic narratives; and SAFMA has promoted regionalism and conflict-sensitive journalism across borders. Each initiative reflects a different modality of informal diplomacy—strategic, public-facing, and professional—yet together they illustrate the multidimensional capacity of civil society actors to contribute to long-term peacebuilding.</w:t>
      </w:r>
    </w:p>
    <w:p w14:paraId="731C6FC7" w14:textId="77777777" w:rsidR="00DC1B5C" w:rsidRDefault="00DC1B5C" w:rsidP="00DC1B5C"/>
    <w:p w14:paraId="05A764BC" w14:textId="455718D2" w:rsidR="00DC1B5C" w:rsidRDefault="00DC1B5C" w:rsidP="00DC1B5C">
      <w:r>
        <w:t>However, the impact of Track II diplomacy remains constrained by structural and political limitations. These include a lack of formal linkages with official Track I processes, limited institutional funding and protection, restricted public visibility, and exclusionary tendencies within elite-dominated forums. Furthermore, the securitized and nationalist nature of state discourse in both countries often undermines or delegitimizes independent peace initiatives.</w:t>
      </w:r>
    </w:p>
    <w:p w14:paraId="2B05E89D" w14:textId="5751CF9F" w:rsidR="00DC1B5C" w:rsidRDefault="00DC1B5C" w:rsidP="00DC1B5C">
      <w:r>
        <w:t xml:space="preserve">Despite these constraints, the persistence and adaptability of Track II actors underscore their importance in keeping the dialogue alive. Their cumulative efforts have not only </w:t>
      </w:r>
      <w:r>
        <w:lastRenderedPageBreak/>
        <w:t>influenced policy thinking but also helped build the normative foundations for a more cooperative bilateral relationship. As South Asia confronts complex security, economic, and environmental challenges, the need for diversified, multi-level diplomacy has never been more urgent.</w:t>
      </w:r>
    </w:p>
    <w:p w14:paraId="20225168" w14:textId="1CB98EBB" w:rsidR="00EE7E84" w:rsidRDefault="00DC1B5C" w:rsidP="00DD5421">
      <w:r>
        <w:t>This paper argues that the future of India–Pakistan peacebuilding requires a more structured and institutionalized integration of Track II diplomacy into the broader conflict resolution architecture. Governments must recognize the value of informal engagement, provide enabling environments for civil society cooperation, and support cross-border initiatives that enhance mutual understanding. Only through a holistic approach—bridging the formal and informal, the strategic and societal—can the subcontinent move toward a sustainable and inclusive peace.</w:t>
      </w:r>
    </w:p>
    <w:p w14:paraId="7E5A2A4E" w14:textId="339377E3" w:rsidR="00A34125" w:rsidRPr="00EC2920" w:rsidRDefault="00A34125" w:rsidP="00A34125">
      <w:pPr>
        <w:rPr>
          <w:b/>
          <w:bCs/>
          <w:i/>
          <w:iCs/>
        </w:rPr>
      </w:pPr>
      <w:r w:rsidRPr="00037B3C">
        <w:rPr>
          <w:b/>
          <w:bCs/>
          <w:i/>
          <w:iCs/>
        </w:rPr>
        <w:t>References</w:t>
      </w:r>
    </w:p>
    <w:p w14:paraId="39CCC0E2" w14:textId="52BF25A4" w:rsidR="00A34125" w:rsidRDefault="00A34125" w:rsidP="002C7C58">
      <w:pPr>
        <w:pStyle w:val="ListParagraph"/>
        <w:numPr>
          <w:ilvl w:val="0"/>
          <w:numId w:val="38"/>
        </w:numPr>
      </w:pPr>
      <w:r>
        <w:t>Ahmed, I. (2017). Track II diplomacy: Lessons from South Asia. Journal of Peacebuilding and Development, 12(2), 45–60.</w:t>
      </w:r>
    </w:p>
    <w:p w14:paraId="3366664A" w14:textId="43CE253A" w:rsidR="00A34125" w:rsidRDefault="00A34125" w:rsidP="002C7C58">
      <w:pPr>
        <w:pStyle w:val="ListParagraph"/>
        <w:numPr>
          <w:ilvl w:val="0"/>
          <w:numId w:val="38"/>
        </w:numPr>
      </w:pPr>
      <w:r>
        <w:t>Chari, P. R., Cheema, P. I., &amp; Cohen, S. P. (2007). Perception, politics and security in South Asia: The compound crisis of 1990. Routledge.</w:t>
      </w:r>
    </w:p>
    <w:p w14:paraId="0B29BF2E" w14:textId="2E5E0A48" w:rsidR="00A34125" w:rsidRDefault="00A34125" w:rsidP="002C7C58">
      <w:pPr>
        <w:pStyle w:val="ListParagraph"/>
        <w:numPr>
          <w:ilvl w:val="0"/>
          <w:numId w:val="38"/>
        </w:numPr>
      </w:pPr>
      <w:r>
        <w:t>Cohen, S. P. (2005). The idea of Pakistan. Brookings Institution Press.</w:t>
      </w:r>
    </w:p>
    <w:p w14:paraId="731B949F" w14:textId="3B995A6E" w:rsidR="00A34125" w:rsidRDefault="00A34125" w:rsidP="002C7C58">
      <w:pPr>
        <w:pStyle w:val="ListParagraph"/>
        <w:numPr>
          <w:ilvl w:val="0"/>
          <w:numId w:val="38"/>
        </w:numPr>
      </w:pPr>
      <w:proofErr w:type="spellStart"/>
      <w:r>
        <w:t>Galtung</w:t>
      </w:r>
      <w:proofErr w:type="spellEnd"/>
      <w:r>
        <w:t>, J. (1996). Peace by peaceful means: Peace and conflict, development and civilization. SAGE Publications.</w:t>
      </w:r>
    </w:p>
    <w:p w14:paraId="14EA11D9" w14:textId="2EF54F30" w:rsidR="00A34125" w:rsidRDefault="00A34125" w:rsidP="002C7C58">
      <w:pPr>
        <w:pStyle w:val="ListParagraph"/>
        <w:numPr>
          <w:ilvl w:val="0"/>
          <w:numId w:val="38"/>
        </w:numPr>
      </w:pPr>
      <w:r>
        <w:t xml:space="preserve">Hussain, R. (2006). Pakistan and the emergence of Islamic militancy in Afghanistan. </w:t>
      </w:r>
      <w:proofErr w:type="spellStart"/>
      <w:r>
        <w:t>Ashgate</w:t>
      </w:r>
      <w:proofErr w:type="spellEnd"/>
      <w:r>
        <w:t xml:space="preserve"> Publishing.</w:t>
      </w:r>
    </w:p>
    <w:p w14:paraId="1980C101" w14:textId="4BC0E3BB" w:rsidR="00A34125" w:rsidRDefault="00A34125" w:rsidP="002C7C58">
      <w:pPr>
        <w:pStyle w:val="ListParagraph"/>
        <w:numPr>
          <w:ilvl w:val="0"/>
          <w:numId w:val="38"/>
        </w:numPr>
      </w:pPr>
      <w:proofErr w:type="spellStart"/>
      <w:r>
        <w:t>Kapur</w:t>
      </w:r>
      <w:proofErr w:type="spellEnd"/>
      <w:r>
        <w:t>, S. P. (2007). Dangerous deterrent: Nuclear weapons proliferation and conflict in South Asia. Stanford University Press.</w:t>
      </w:r>
    </w:p>
    <w:p w14:paraId="6C85520C" w14:textId="1B8F4ED2" w:rsidR="00A34125" w:rsidRDefault="00A34125" w:rsidP="002C7C58">
      <w:pPr>
        <w:pStyle w:val="ListParagraph"/>
        <w:numPr>
          <w:ilvl w:val="0"/>
          <w:numId w:val="38"/>
        </w:numPr>
      </w:pPr>
      <w:r>
        <w:t>Mohan, C. R. (2006). Crossing the Rubicon: The shaping of India's new foreign policy. Palgrave Macmillan.</w:t>
      </w:r>
    </w:p>
    <w:p w14:paraId="71ABA7F0" w14:textId="0303DDE2" w:rsidR="00A34125" w:rsidRDefault="00A34125" w:rsidP="002C7C58">
      <w:pPr>
        <w:pStyle w:val="ListParagraph"/>
        <w:numPr>
          <w:ilvl w:val="0"/>
          <w:numId w:val="38"/>
        </w:numPr>
      </w:pPr>
      <w:proofErr w:type="spellStart"/>
      <w:r>
        <w:t>Sahni</w:t>
      </w:r>
      <w:proofErr w:type="spellEnd"/>
      <w:r>
        <w:t>, V. (2016). India–Pakistan composite dialogue process: Building confidence and keeping peace. Observer Research Foundation Occasional Paper.</w:t>
      </w:r>
    </w:p>
    <w:p w14:paraId="5022B038" w14:textId="4490E307" w:rsidR="00A34125" w:rsidRDefault="00A34125" w:rsidP="002C7C58">
      <w:pPr>
        <w:pStyle w:val="ListParagraph"/>
        <w:numPr>
          <w:ilvl w:val="0"/>
          <w:numId w:val="38"/>
        </w:numPr>
      </w:pPr>
      <w:r>
        <w:t>Sisk, T. D. (2009). International mediation in civil wars: Bargaining with bullets. Routledge.</w:t>
      </w:r>
    </w:p>
    <w:p w14:paraId="56F68D95" w14:textId="5DCF3D64" w:rsidR="00A34125" w:rsidRDefault="00A34125" w:rsidP="002C7C58">
      <w:pPr>
        <w:pStyle w:val="ListParagraph"/>
        <w:numPr>
          <w:ilvl w:val="0"/>
          <w:numId w:val="38"/>
        </w:numPr>
      </w:pPr>
      <w:proofErr w:type="spellStart"/>
      <w:r>
        <w:t>Sridharan</w:t>
      </w:r>
      <w:proofErr w:type="spellEnd"/>
      <w:r>
        <w:t>, E. (2008). The India–Pakistan peace process: Strategic choices and the long road to normalization. South Asian Survey, 15(1), 45–62.</w:t>
      </w:r>
    </w:p>
    <w:p w14:paraId="5EB4D5EC" w14:textId="03518274" w:rsidR="006D7E4D" w:rsidRPr="00037B3C" w:rsidRDefault="006D7E4D" w:rsidP="006D7E4D">
      <w:pPr>
        <w:rPr>
          <w:b/>
          <w:bCs/>
          <w:i/>
          <w:iCs/>
        </w:rPr>
      </w:pPr>
      <w:r w:rsidRPr="006D7E4D">
        <w:rPr>
          <w:b/>
          <w:bCs/>
          <w:i/>
          <w:iCs/>
        </w:rPr>
        <w:t>Author Biography</w:t>
      </w:r>
    </w:p>
    <w:p w14:paraId="6D0725D2" w14:textId="24E5D205" w:rsidR="006D7E4D" w:rsidRDefault="006D7E4D" w:rsidP="006D7E4D">
      <w:r>
        <w:t xml:space="preserve">Dr. Imtiyaz Ahmad </w:t>
      </w:r>
      <w:proofErr w:type="spellStart"/>
      <w:r>
        <w:t>Batti</w:t>
      </w:r>
      <w:proofErr w:type="spellEnd"/>
      <w:r>
        <w:t xml:space="preserve"> is currently serving as a Lecturer (Academic Arrangement) in the Department of Political Science at Government Degree College (GDC), Boniyar, Jammu and Kashmir, India. He holds a Ph.D. in Political Science and has over 10 years of teaching and </w:t>
      </w:r>
      <w:r>
        <w:lastRenderedPageBreak/>
        <w:t>research experience in the fields of South Asian and Central Asian political studies. His core academic interests include the Indian political system, comparative politics, international relations, conflict resolution, civil society engagement, Track II diplomacy, and regional security dynamics.</w:t>
      </w:r>
    </w:p>
    <w:p w14:paraId="4642DBC8" w14:textId="77777777" w:rsidR="006D7E4D" w:rsidRDefault="006D7E4D" w:rsidP="006D7E4D">
      <w:r>
        <w:t xml:space="preserve">Dr. </w:t>
      </w:r>
      <w:proofErr w:type="spellStart"/>
      <w:r>
        <w:t>Batti’s</w:t>
      </w:r>
      <w:proofErr w:type="spellEnd"/>
      <w:r>
        <w:t xml:space="preserve"> scholarly work focuses on the intricacies of India–Pakistan relations, regional peacebuilding mechanisms, and the evolving geopolitical significance of Central Asia in the context of inter-regional cooperation and strategic diplomacy. He has actively contributed to numerous regional seminars and academic forums, advocating for sustained, evidence-based policy engagement in peace processes. Dr. </w:t>
      </w:r>
      <w:proofErr w:type="spellStart"/>
      <w:r>
        <w:t>Batti</w:t>
      </w:r>
      <w:proofErr w:type="spellEnd"/>
      <w:r>
        <w:t xml:space="preserve"> remains deeply committed to promoting scholarly discourse and fostering practical policy-oriented dialogue on sustainable peace across South and Central Asia.</w:t>
      </w:r>
    </w:p>
    <w:p w14:paraId="0DF6501E" w14:textId="77777777" w:rsidR="006D7E4D" w:rsidRDefault="006D7E4D" w:rsidP="006D7E4D">
      <w:r>
        <w:t>Email: ibatti@rediffmail.com</w:t>
      </w:r>
    </w:p>
    <w:p w14:paraId="084699D1" w14:textId="1BBFFD0C" w:rsidR="006D7E4D" w:rsidRPr="00037B3C" w:rsidRDefault="006D7E4D" w:rsidP="006D7E4D">
      <w:r w:rsidRPr="006D7E4D">
        <w:rPr>
          <w:b/>
          <w:bCs/>
          <w:i/>
          <w:iCs/>
        </w:rPr>
        <w:t>Conflict of Interest</w:t>
      </w:r>
    </w:p>
    <w:p w14:paraId="22BDB61A" w14:textId="569DBE03" w:rsidR="006D7E4D" w:rsidRDefault="006D7E4D" w:rsidP="006D7E4D">
      <w:r>
        <w:t>The author declares that there is no conflict of interest related to the publication of this research paper. The research was conducted independently without any commercial, financial, or personal relationships that could be interpreted as a potential conflict of interest.</w:t>
      </w:r>
    </w:p>
    <w:p w14:paraId="0A60A7A6" w14:textId="6141FC25" w:rsidR="006D7E4D" w:rsidRPr="00037B3C" w:rsidRDefault="006D7E4D" w:rsidP="006D7E4D">
      <w:pPr>
        <w:rPr>
          <w:b/>
          <w:bCs/>
          <w:i/>
          <w:iCs/>
        </w:rPr>
      </w:pPr>
      <w:r w:rsidRPr="006D7E4D">
        <w:rPr>
          <w:b/>
          <w:bCs/>
          <w:i/>
          <w:iCs/>
        </w:rPr>
        <w:t>Funding Statement</w:t>
      </w:r>
    </w:p>
    <w:p w14:paraId="17B2D266" w14:textId="1F3913FB" w:rsidR="006D7E4D" w:rsidRDefault="006D7E4D" w:rsidP="006D7E4D">
      <w:r>
        <w:t>This research received no specific grant from any funding agency in the public, commercial, or not-for-profit sectors. It was carried out as part of the author’s independent academic engagement at Government Degree College (GDC), Boniyar.</w:t>
      </w:r>
    </w:p>
    <w:p w14:paraId="69360BCF" w14:textId="54E04DAA" w:rsidR="006D7E4D" w:rsidRPr="00037B3C" w:rsidRDefault="006D7E4D" w:rsidP="006D7E4D">
      <w:pPr>
        <w:rPr>
          <w:b/>
          <w:bCs/>
          <w:i/>
          <w:iCs/>
        </w:rPr>
      </w:pPr>
      <w:r w:rsidRPr="006D7E4D">
        <w:rPr>
          <w:b/>
          <w:bCs/>
          <w:i/>
          <w:iCs/>
        </w:rPr>
        <w:t>Ethical Statement</w:t>
      </w:r>
    </w:p>
    <w:p w14:paraId="597000BB" w14:textId="77777777" w:rsidR="006D7E4D" w:rsidRDefault="006D7E4D" w:rsidP="006D7E4D">
      <w:r>
        <w:t>The research presented in this paper does not involve any human participants, animals, or sensitive data requiring ethical approval. All information and sources used are publicly available or academically cited, and due academic integrity has been maintained throughout the research process.</w:t>
      </w:r>
    </w:p>
    <w:p w14:paraId="282AA880" w14:textId="6BCA7F7B" w:rsidR="006D7E4D" w:rsidRPr="00037B3C" w:rsidRDefault="006D7E4D" w:rsidP="006D7E4D">
      <w:r w:rsidRPr="006D7E4D">
        <w:rPr>
          <w:b/>
          <w:bCs/>
          <w:i/>
          <w:iCs/>
        </w:rPr>
        <w:t>Plagiarism and Originality Statement</w:t>
      </w:r>
    </w:p>
    <w:p w14:paraId="38CF3F3E" w14:textId="1B59BF65" w:rsidR="006D7E4D" w:rsidRDefault="006D7E4D" w:rsidP="006D7E4D">
      <w:r>
        <w:t>The author affirms that this paper is an original work and has not been published or submitted elsewhere. Proper citations and referencing have been ensured in accordance with academic standards, and the manuscript complies with plagiarism norms set by Scopus-indexed journals.</w:t>
      </w:r>
    </w:p>
    <w:p w14:paraId="579CB942" w14:textId="21D162F5" w:rsidR="006D7E4D" w:rsidRPr="00037B3C" w:rsidRDefault="006D7E4D" w:rsidP="006D7E4D">
      <w:pPr>
        <w:rPr>
          <w:b/>
          <w:bCs/>
          <w:i/>
          <w:iCs/>
        </w:rPr>
      </w:pPr>
      <w:r w:rsidRPr="006D7E4D">
        <w:rPr>
          <w:b/>
          <w:bCs/>
          <w:i/>
          <w:iCs/>
        </w:rPr>
        <w:t>Author's Declaration</w:t>
      </w:r>
    </w:p>
    <w:p w14:paraId="45A8F7F5" w14:textId="785E56A2" w:rsidR="00A34125" w:rsidRDefault="006D7E4D" w:rsidP="00193452">
      <w:r>
        <w:lastRenderedPageBreak/>
        <w:t xml:space="preserve">I, Dr. Imtiyaz Ahmad </w:t>
      </w:r>
      <w:proofErr w:type="spellStart"/>
      <w:r>
        <w:t>Batti</w:t>
      </w:r>
      <w:proofErr w:type="spellEnd"/>
      <w:r>
        <w:t>, hereby declare that the research work presented in this paper is original and has not been published or submitted elsewhere. All ethical standards, including proper citation, confidentiality, and objectivity, have been maintained throughout the writing and research process.</w:t>
      </w:r>
    </w:p>
    <w:p w14:paraId="1A54BC90" w14:textId="77777777" w:rsidR="002C7C58" w:rsidRPr="004967AC" w:rsidRDefault="002C7C58" w:rsidP="00100FD3">
      <w:pPr>
        <w:rPr>
          <w:b/>
          <w:bCs/>
          <w:i/>
          <w:iCs/>
        </w:rPr>
      </w:pPr>
      <w:r w:rsidRPr="00193452">
        <w:rPr>
          <w:b/>
          <w:bCs/>
          <w:i/>
          <w:iCs/>
        </w:rPr>
        <w:t>Acknowledgements</w:t>
      </w:r>
    </w:p>
    <w:p w14:paraId="3FD28DCB" w14:textId="77777777" w:rsidR="002C7C58" w:rsidRDefault="002C7C58" w:rsidP="00100FD3">
      <w:r>
        <w:t xml:space="preserve">The author extends sincere gratitude to Dr. A.P. </w:t>
      </w:r>
      <w:proofErr w:type="spellStart"/>
      <w:r>
        <w:t>Padey</w:t>
      </w:r>
      <w:proofErr w:type="spellEnd"/>
      <w:r>
        <w:t xml:space="preserve">, Dr. Sanjeev Kumar Sharma, Dr. </w:t>
      </w:r>
      <w:proofErr w:type="spellStart"/>
      <w:r>
        <w:t>Javaid</w:t>
      </w:r>
      <w:proofErr w:type="spellEnd"/>
      <w:r>
        <w:t xml:space="preserve"> </w:t>
      </w:r>
      <w:proofErr w:type="spellStart"/>
      <w:r>
        <w:t>Ayoub</w:t>
      </w:r>
      <w:proofErr w:type="spellEnd"/>
      <w:r>
        <w:t xml:space="preserve"> Sheikh, Dr. Imran </w:t>
      </w:r>
      <w:proofErr w:type="spellStart"/>
      <w:r>
        <w:t>Majeed</w:t>
      </w:r>
      <w:proofErr w:type="spellEnd"/>
      <w:r>
        <w:t xml:space="preserve"> Bhat, Dr. </w:t>
      </w:r>
      <w:proofErr w:type="spellStart"/>
      <w:r>
        <w:t>Muskan</w:t>
      </w:r>
      <w:proofErr w:type="spellEnd"/>
      <w:r>
        <w:t xml:space="preserve"> Ameen, Dr. </w:t>
      </w:r>
      <w:proofErr w:type="spellStart"/>
      <w:r>
        <w:t>Javeed</w:t>
      </w:r>
      <w:proofErr w:type="spellEnd"/>
      <w:r>
        <w:t xml:space="preserve"> Rahman, Dr. </w:t>
      </w:r>
      <w:proofErr w:type="spellStart"/>
      <w:r>
        <w:t>Bisma</w:t>
      </w:r>
      <w:proofErr w:type="spellEnd"/>
      <w:r>
        <w:t xml:space="preserve"> </w:t>
      </w:r>
      <w:proofErr w:type="spellStart"/>
      <w:r>
        <w:t>Shafi</w:t>
      </w:r>
      <w:proofErr w:type="spellEnd"/>
      <w:r>
        <w:t xml:space="preserve">, Dr. </w:t>
      </w:r>
      <w:proofErr w:type="spellStart"/>
      <w:r>
        <w:t>Anzar</w:t>
      </w:r>
      <w:proofErr w:type="spellEnd"/>
      <w:r>
        <w:t xml:space="preserve"> Ahmad Shah, Dr. Muneer Ahmad Mir, and Mr. Mohammad </w:t>
      </w:r>
      <w:proofErr w:type="spellStart"/>
      <w:r>
        <w:t>Zameer</w:t>
      </w:r>
      <w:proofErr w:type="spellEnd"/>
      <w:r>
        <w:t xml:space="preserve"> Sheikh for their invaluable academic support, intellectual encouragement, and constructive feedback during the preparation of this research paper.</w:t>
      </w:r>
    </w:p>
    <w:p w14:paraId="0B968867" w14:textId="77777777" w:rsidR="002C7C58" w:rsidRDefault="002C7C58" w:rsidP="00100FD3">
      <w:r>
        <w:t xml:space="preserve">The author also expresses heartfelt thanks to Dr. </w:t>
      </w:r>
      <w:proofErr w:type="spellStart"/>
      <w:r>
        <w:t>Parveen</w:t>
      </w:r>
      <w:proofErr w:type="spellEnd"/>
      <w:r>
        <w:t xml:space="preserve"> </w:t>
      </w:r>
      <w:proofErr w:type="spellStart"/>
      <w:r>
        <w:t>Kousar</w:t>
      </w:r>
      <w:proofErr w:type="spellEnd"/>
      <w:r>
        <w:t>, Principal, Government Degree College Boniyar, for her continuous support, motivation, and for fostering an academic environment conducive to research and scholarly inquiry.</w:t>
      </w:r>
    </w:p>
    <w:p w14:paraId="662BB35A" w14:textId="77777777" w:rsidR="00A34125" w:rsidRDefault="00A34125" w:rsidP="00193452"/>
    <w:p w14:paraId="6A3DA125" w14:textId="77777777" w:rsidR="007F08AB" w:rsidRDefault="007F08AB" w:rsidP="00193452"/>
    <w:p w14:paraId="3977029E" w14:textId="77777777" w:rsidR="007F08AB" w:rsidRDefault="007F08AB" w:rsidP="00193452"/>
    <w:sectPr w:rsidR="007F08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CC2"/>
    <w:multiLevelType w:val="hybridMultilevel"/>
    <w:tmpl w:val="909C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3524E"/>
    <w:multiLevelType w:val="hybridMultilevel"/>
    <w:tmpl w:val="805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260B9"/>
    <w:multiLevelType w:val="hybridMultilevel"/>
    <w:tmpl w:val="D264F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561C"/>
    <w:multiLevelType w:val="hybridMultilevel"/>
    <w:tmpl w:val="186C5A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468F8"/>
    <w:multiLevelType w:val="hybridMultilevel"/>
    <w:tmpl w:val="85FC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57A1D"/>
    <w:multiLevelType w:val="hybridMultilevel"/>
    <w:tmpl w:val="DDE4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566FC"/>
    <w:multiLevelType w:val="hybridMultilevel"/>
    <w:tmpl w:val="3A484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E4F24"/>
    <w:multiLevelType w:val="hybridMultilevel"/>
    <w:tmpl w:val="B15A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603A2"/>
    <w:multiLevelType w:val="hybridMultilevel"/>
    <w:tmpl w:val="9D4600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A1199"/>
    <w:multiLevelType w:val="hybridMultilevel"/>
    <w:tmpl w:val="798E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E6D99"/>
    <w:multiLevelType w:val="hybridMultilevel"/>
    <w:tmpl w:val="B476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F751F"/>
    <w:multiLevelType w:val="hybridMultilevel"/>
    <w:tmpl w:val="D0EC6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9B7113"/>
    <w:multiLevelType w:val="hybridMultilevel"/>
    <w:tmpl w:val="5F5C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10193"/>
    <w:multiLevelType w:val="hybridMultilevel"/>
    <w:tmpl w:val="029C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D21C9"/>
    <w:multiLevelType w:val="hybridMultilevel"/>
    <w:tmpl w:val="AFF8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56977"/>
    <w:multiLevelType w:val="hybridMultilevel"/>
    <w:tmpl w:val="9C80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62FA5"/>
    <w:multiLevelType w:val="hybridMultilevel"/>
    <w:tmpl w:val="8EBAF7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887119"/>
    <w:multiLevelType w:val="hybridMultilevel"/>
    <w:tmpl w:val="55D0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EB33CC"/>
    <w:multiLevelType w:val="hybridMultilevel"/>
    <w:tmpl w:val="D3EE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931FE9"/>
    <w:multiLevelType w:val="hybridMultilevel"/>
    <w:tmpl w:val="C0DC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3C5D8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B62195A"/>
    <w:multiLevelType w:val="hybridMultilevel"/>
    <w:tmpl w:val="6D44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2A6E3C"/>
    <w:multiLevelType w:val="hybridMultilevel"/>
    <w:tmpl w:val="6DFE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3E7B10"/>
    <w:multiLevelType w:val="hybridMultilevel"/>
    <w:tmpl w:val="41104E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21241F"/>
    <w:multiLevelType w:val="hybridMultilevel"/>
    <w:tmpl w:val="CB22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B008FC"/>
    <w:multiLevelType w:val="hybridMultilevel"/>
    <w:tmpl w:val="98BC0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D0FEA"/>
    <w:multiLevelType w:val="hybridMultilevel"/>
    <w:tmpl w:val="7C5A21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92B68"/>
    <w:multiLevelType w:val="hybridMultilevel"/>
    <w:tmpl w:val="D19AB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92CF6"/>
    <w:multiLevelType w:val="hybridMultilevel"/>
    <w:tmpl w:val="58401D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E9225B"/>
    <w:multiLevelType w:val="hybridMultilevel"/>
    <w:tmpl w:val="4754B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479038">
    <w:abstractNumId w:val="2"/>
  </w:num>
  <w:num w:numId="2" w16cid:durableId="2026244986">
    <w:abstractNumId w:val="29"/>
  </w:num>
  <w:num w:numId="3" w16cid:durableId="1935937387">
    <w:abstractNumId w:val="23"/>
  </w:num>
  <w:num w:numId="4" w16cid:durableId="162933696">
    <w:abstractNumId w:val="11"/>
  </w:num>
  <w:num w:numId="5" w16cid:durableId="84619244">
    <w:abstractNumId w:val="9"/>
  </w:num>
  <w:num w:numId="6" w16cid:durableId="2147232065">
    <w:abstractNumId w:val="20"/>
  </w:num>
  <w:num w:numId="7" w16cid:durableId="14012518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64616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81895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30363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39000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8195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27735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77580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33681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00416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3105803">
    <w:abstractNumId w:val="6"/>
  </w:num>
  <w:num w:numId="18" w16cid:durableId="1046829372">
    <w:abstractNumId w:val="5"/>
  </w:num>
  <w:num w:numId="19" w16cid:durableId="1252853150">
    <w:abstractNumId w:val="13"/>
  </w:num>
  <w:num w:numId="20" w16cid:durableId="1569653709">
    <w:abstractNumId w:val="0"/>
  </w:num>
  <w:num w:numId="21" w16cid:durableId="1550918935">
    <w:abstractNumId w:val="14"/>
  </w:num>
  <w:num w:numId="22" w16cid:durableId="42365054">
    <w:abstractNumId w:val="19"/>
  </w:num>
  <w:num w:numId="23" w16cid:durableId="699011468">
    <w:abstractNumId w:val="22"/>
  </w:num>
  <w:num w:numId="24" w16cid:durableId="1028947942">
    <w:abstractNumId w:val="1"/>
  </w:num>
  <w:num w:numId="25" w16cid:durableId="1675766221">
    <w:abstractNumId w:val="25"/>
  </w:num>
  <w:num w:numId="26" w16cid:durableId="1668172538">
    <w:abstractNumId w:val="15"/>
  </w:num>
  <w:num w:numId="27" w16cid:durableId="1216161848">
    <w:abstractNumId w:val="12"/>
  </w:num>
  <w:num w:numId="28" w16cid:durableId="462112594">
    <w:abstractNumId w:val="18"/>
  </w:num>
  <w:num w:numId="29" w16cid:durableId="1305500271">
    <w:abstractNumId w:val="10"/>
  </w:num>
  <w:num w:numId="30" w16cid:durableId="410203117">
    <w:abstractNumId w:val="8"/>
  </w:num>
  <w:num w:numId="31" w16cid:durableId="1343976159">
    <w:abstractNumId w:val="7"/>
  </w:num>
  <w:num w:numId="32" w16cid:durableId="736632903">
    <w:abstractNumId w:val="3"/>
  </w:num>
  <w:num w:numId="33" w16cid:durableId="275451129">
    <w:abstractNumId w:val="21"/>
  </w:num>
  <w:num w:numId="34" w16cid:durableId="386103848">
    <w:abstractNumId w:val="28"/>
  </w:num>
  <w:num w:numId="35" w16cid:durableId="1982953228">
    <w:abstractNumId w:val="24"/>
  </w:num>
  <w:num w:numId="36" w16cid:durableId="982541026">
    <w:abstractNumId w:val="26"/>
  </w:num>
  <w:num w:numId="37" w16cid:durableId="1914387991">
    <w:abstractNumId w:val="17"/>
  </w:num>
  <w:num w:numId="38" w16cid:durableId="76944176">
    <w:abstractNumId w:val="16"/>
  </w:num>
  <w:num w:numId="39" w16cid:durableId="147093085">
    <w:abstractNumId w:val="4"/>
  </w:num>
  <w:num w:numId="40" w16cid:durableId="1418223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21"/>
    <w:rsid w:val="0003088B"/>
    <w:rsid w:val="00037B3C"/>
    <w:rsid w:val="00083302"/>
    <w:rsid w:val="0008468A"/>
    <w:rsid w:val="0009210C"/>
    <w:rsid w:val="000A1D1C"/>
    <w:rsid w:val="000A5E28"/>
    <w:rsid w:val="000C61CD"/>
    <w:rsid w:val="000D5B1E"/>
    <w:rsid w:val="000E04ED"/>
    <w:rsid w:val="000E062A"/>
    <w:rsid w:val="000E3871"/>
    <w:rsid w:val="000E71E8"/>
    <w:rsid w:val="001404DC"/>
    <w:rsid w:val="00146FEB"/>
    <w:rsid w:val="0015426E"/>
    <w:rsid w:val="00163AA1"/>
    <w:rsid w:val="00171E10"/>
    <w:rsid w:val="00175047"/>
    <w:rsid w:val="00193452"/>
    <w:rsid w:val="00193949"/>
    <w:rsid w:val="00194233"/>
    <w:rsid w:val="001D5790"/>
    <w:rsid w:val="001E56E3"/>
    <w:rsid w:val="001F290F"/>
    <w:rsid w:val="001F416F"/>
    <w:rsid w:val="00245460"/>
    <w:rsid w:val="00282A84"/>
    <w:rsid w:val="002A69E3"/>
    <w:rsid w:val="002C7C58"/>
    <w:rsid w:val="002D38C1"/>
    <w:rsid w:val="002E18EB"/>
    <w:rsid w:val="00301929"/>
    <w:rsid w:val="003069B7"/>
    <w:rsid w:val="00307008"/>
    <w:rsid w:val="00365848"/>
    <w:rsid w:val="00374055"/>
    <w:rsid w:val="00380F5E"/>
    <w:rsid w:val="00393D1D"/>
    <w:rsid w:val="00394160"/>
    <w:rsid w:val="003A0BAE"/>
    <w:rsid w:val="003A1AA9"/>
    <w:rsid w:val="003A7804"/>
    <w:rsid w:val="003B6F27"/>
    <w:rsid w:val="003D137A"/>
    <w:rsid w:val="003F4EE4"/>
    <w:rsid w:val="00407E8C"/>
    <w:rsid w:val="00437C87"/>
    <w:rsid w:val="00466375"/>
    <w:rsid w:val="004838FE"/>
    <w:rsid w:val="004872FE"/>
    <w:rsid w:val="004967AC"/>
    <w:rsid w:val="004F5F51"/>
    <w:rsid w:val="00501C9F"/>
    <w:rsid w:val="00554056"/>
    <w:rsid w:val="005628C6"/>
    <w:rsid w:val="00592882"/>
    <w:rsid w:val="005C7AA5"/>
    <w:rsid w:val="005D32C2"/>
    <w:rsid w:val="005E7745"/>
    <w:rsid w:val="005F1915"/>
    <w:rsid w:val="00623D68"/>
    <w:rsid w:val="00626822"/>
    <w:rsid w:val="006565E6"/>
    <w:rsid w:val="00675983"/>
    <w:rsid w:val="00693F10"/>
    <w:rsid w:val="006B53D2"/>
    <w:rsid w:val="006C5E9A"/>
    <w:rsid w:val="006D7E4D"/>
    <w:rsid w:val="006E4455"/>
    <w:rsid w:val="00700A34"/>
    <w:rsid w:val="00715220"/>
    <w:rsid w:val="007242A9"/>
    <w:rsid w:val="00743577"/>
    <w:rsid w:val="00753B90"/>
    <w:rsid w:val="00783006"/>
    <w:rsid w:val="007A3632"/>
    <w:rsid w:val="007D23CD"/>
    <w:rsid w:val="007F08AB"/>
    <w:rsid w:val="007F1B5C"/>
    <w:rsid w:val="007F3B88"/>
    <w:rsid w:val="008011E9"/>
    <w:rsid w:val="008140EC"/>
    <w:rsid w:val="00824355"/>
    <w:rsid w:val="00827820"/>
    <w:rsid w:val="0084070A"/>
    <w:rsid w:val="0084514F"/>
    <w:rsid w:val="00846EFE"/>
    <w:rsid w:val="008739AF"/>
    <w:rsid w:val="00873C19"/>
    <w:rsid w:val="00884753"/>
    <w:rsid w:val="00896135"/>
    <w:rsid w:val="008A4CF0"/>
    <w:rsid w:val="008C08E4"/>
    <w:rsid w:val="008E2200"/>
    <w:rsid w:val="008F6015"/>
    <w:rsid w:val="00910A59"/>
    <w:rsid w:val="0092116E"/>
    <w:rsid w:val="00926590"/>
    <w:rsid w:val="00941667"/>
    <w:rsid w:val="00942951"/>
    <w:rsid w:val="00982793"/>
    <w:rsid w:val="00983135"/>
    <w:rsid w:val="00985023"/>
    <w:rsid w:val="009B3028"/>
    <w:rsid w:val="009C1F05"/>
    <w:rsid w:val="009F25CA"/>
    <w:rsid w:val="00A1498F"/>
    <w:rsid w:val="00A30B25"/>
    <w:rsid w:val="00A34125"/>
    <w:rsid w:val="00A3594D"/>
    <w:rsid w:val="00A760CD"/>
    <w:rsid w:val="00AD4B04"/>
    <w:rsid w:val="00B058BF"/>
    <w:rsid w:val="00B062AC"/>
    <w:rsid w:val="00B3000A"/>
    <w:rsid w:val="00B4230F"/>
    <w:rsid w:val="00B578C2"/>
    <w:rsid w:val="00B622CA"/>
    <w:rsid w:val="00B725DE"/>
    <w:rsid w:val="00B83D0D"/>
    <w:rsid w:val="00BC02D5"/>
    <w:rsid w:val="00BE624B"/>
    <w:rsid w:val="00BF5A1C"/>
    <w:rsid w:val="00BF5FF6"/>
    <w:rsid w:val="00C02388"/>
    <w:rsid w:val="00C114D3"/>
    <w:rsid w:val="00C22ABB"/>
    <w:rsid w:val="00C267EA"/>
    <w:rsid w:val="00C356F8"/>
    <w:rsid w:val="00C35E14"/>
    <w:rsid w:val="00C524A4"/>
    <w:rsid w:val="00C935F3"/>
    <w:rsid w:val="00CC0785"/>
    <w:rsid w:val="00D201C4"/>
    <w:rsid w:val="00D2786F"/>
    <w:rsid w:val="00D3158C"/>
    <w:rsid w:val="00D864F5"/>
    <w:rsid w:val="00DA69B4"/>
    <w:rsid w:val="00DB3E29"/>
    <w:rsid w:val="00DC05A8"/>
    <w:rsid w:val="00DC1B5C"/>
    <w:rsid w:val="00DD5421"/>
    <w:rsid w:val="00E003C7"/>
    <w:rsid w:val="00E25562"/>
    <w:rsid w:val="00E30D32"/>
    <w:rsid w:val="00E33DC0"/>
    <w:rsid w:val="00E7183A"/>
    <w:rsid w:val="00E87DD5"/>
    <w:rsid w:val="00E9721D"/>
    <w:rsid w:val="00EB137D"/>
    <w:rsid w:val="00EC2920"/>
    <w:rsid w:val="00ED55A6"/>
    <w:rsid w:val="00EE7E84"/>
    <w:rsid w:val="00F059E3"/>
    <w:rsid w:val="00F179C1"/>
    <w:rsid w:val="00F404EE"/>
    <w:rsid w:val="00F6511C"/>
    <w:rsid w:val="00F73411"/>
    <w:rsid w:val="00FA6E36"/>
    <w:rsid w:val="00FB3312"/>
    <w:rsid w:val="00FE093D"/>
    <w:rsid w:val="00FE4948"/>
    <w:rsid w:val="00FF2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290A7F"/>
  <w15:chartTrackingRefBased/>
  <w15:docId w15:val="{C949ECDC-F955-3A45-9E1D-6BA93016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421"/>
    <w:rPr>
      <w:rFonts w:eastAsiaTheme="majorEastAsia" w:cstheme="majorBidi"/>
      <w:color w:val="272727" w:themeColor="text1" w:themeTint="D8"/>
    </w:rPr>
  </w:style>
  <w:style w:type="paragraph" w:styleId="Title">
    <w:name w:val="Title"/>
    <w:basedOn w:val="Normal"/>
    <w:next w:val="Normal"/>
    <w:link w:val="TitleChar"/>
    <w:uiPriority w:val="10"/>
    <w:qFormat/>
    <w:rsid w:val="00DD5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421"/>
    <w:pPr>
      <w:spacing w:before="160"/>
      <w:jc w:val="center"/>
    </w:pPr>
    <w:rPr>
      <w:i/>
      <w:iCs/>
      <w:color w:val="404040" w:themeColor="text1" w:themeTint="BF"/>
    </w:rPr>
  </w:style>
  <w:style w:type="character" w:customStyle="1" w:styleId="QuoteChar">
    <w:name w:val="Quote Char"/>
    <w:basedOn w:val="DefaultParagraphFont"/>
    <w:link w:val="Quote"/>
    <w:uiPriority w:val="29"/>
    <w:rsid w:val="00DD5421"/>
    <w:rPr>
      <w:i/>
      <w:iCs/>
      <w:color w:val="404040" w:themeColor="text1" w:themeTint="BF"/>
    </w:rPr>
  </w:style>
  <w:style w:type="paragraph" w:styleId="ListParagraph">
    <w:name w:val="List Paragraph"/>
    <w:basedOn w:val="Normal"/>
    <w:uiPriority w:val="34"/>
    <w:qFormat/>
    <w:rsid w:val="00DD5421"/>
    <w:pPr>
      <w:ind w:left="720"/>
      <w:contextualSpacing/>
    </w:pPr>
  </w:style>
  <w:style w:type="character" w:styleId="IntenseEmphasis">
    <w:name w:val="Intense Emphasis"/>
    <w:basedOn w:val="DefaultParagraphFont"/>
    <w:uiPriority w:val="21"/>
    <w:qFormat/>
    <w:rsid w:val="00DD5421"/>
    <w:rPr>
      <w:i/>
      <w:iCs/>
      <w:color w:val="0F4761" w:themeColor="accent1" w:themeShade="BF"/>
    </w:rPr>
  </w:style>
  <w:style w:type="paragraph" w:styleId="IntenseQuote">
    <w:name w:val="Intense Quote"/>
    <w:basedOn w:val="Normal"/>
    <w:next w:val="Normal"/>
    <w:link w:val="IntenseQuoteChar"/>
    <w:uiPriority w:val="30"/>
    <w:qFormat/>
    <w:rsid w:val="00DD5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421"/>
    <w:rPr>
      <w:i/>
      <w:iCs/>
      <w:color w:val="0F4761" w:themeColor="accent1" w:themeShade="BF"/>
    </w:rPr>
  </w:style>
  <w:style w:type="character" w:styleId="IntenseReference">
    <w:name w:val="Intense Reference"/>
    <w:basedOn w:val="DefaultParagraphFont"/>
    <w:uiPriority w:val="32"/>
    <w:qFormat/>
    <w:rsid w:val="00DD5421"/>
    <w:rPr>
      <w:b/>
      <w:bCs/>
      <w:smallCaps/>
      <w:color w:val="0F4761" w:themeColor="accent1" w:themeShade="BF"/>
      <w:spacing w:val="5"/>
    </w:rPr>
  </w:style>
  <w:style w:type="character" w:styleId="Hyperlink">
    <w:name w:val="Hyperlink"/>
    <w:basedOn w:val="DefaultParagraphFont"/>
    <w:uiPriority w:val="99"/>
    <w:unhideWhenUsed/>
    <w:rsid w:val="00193452"/>
    <w:rPr>
      <w:color w:val="467886" w:themeColor="hyperlink"/>
      <w:u w:val="single"/>
    </w:rPr>
  </w:style>
  <w:style w:type="character" w:styleId="UnresolvedMention">
    <w:name w:val="Unresolved Mention"/>
    <w:basedOn w:val="DefaultParagraphFont"/>
    <w:uiPriority w:val="99"/>
    <w:semiHidden/>
    <w:unhideWhenUsed/>
    <w:rsid w:val="00193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806178">
      <w:bodyDiv w:val="1"/>
      <w:marLeft w:val="0"/>
      <w:marRight w:val="0"/>
      <w:marTop w:val="0"/>
      <w:marBottom w:val="0"/>
      <w:divBdr>
        <w:top w:val="none" w:sz="0" w:space="0" w:color="auto"/>
        <w:left w:val="none" w:sz="0" w:space="0" w:color="auto"/>
        <w:bottom w:val="none" w:sz="0" w:space="0" w:color="auto"/>
        <w:right w:val="none" w:sz="0" w:space="0" w:color="auto"/>
      </w:divBdr>
    </w:div>
    <w:div w:id="177342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4461</Words>
  <Characters>25434</Characters>
  <Application>Microsoft Office Word</Application>
  <DocSecurity>0</DocSecurity>
  <Lines>211</Lines>
  <Paragraphs>59</Paragraphs>
  <ScaleCrop>false</ScaleCrop>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2025-06-14T10:08:00Z</dcterms:created>
  <dcterms:modified xsi:type="dcterms:W3CDTF">2025-06-14T10:08:00Z</dcterms:modified>
</cp:coreProperties>
</file>