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64A3F" w14:textId="77777777" w:rsidR="007912CC" w:rsidRPr="007912CC" w:rsidRDefault="007912CC" w:rsidP="007912CC">
      <w:pPr>
        <w:rPr>
          <w:b/>
          <w:bCs/>
        </w:rPr>
      </w:pPr>
      <w:r w:rsidRPr="007912CC">
        <w:rPr>
          <w:b/>
          <w:bCs/>
        </w:rPr>
        <w:t>Title: Reassessing EU Foreign Policy: A Values-Based Response to the Israel-Palestine Democracy and Security Crisis</w:t>
      </w:r>
    </w:p>
    <w:p w14:paraId="1D21B2F5" w14:textId="77777777" w:rsidR="00D14955" w:rsidRPr="00D14955" w:rsidRDefault="00D14955" w:rsidP="00D14955">
      <w:pPr>
        <w:rPr>
          <w:b/>
          <w:bCs/>
          <w:i/>
          <w:iCs/>
        </w:rPr>
      </w:pPr>
      <w:r w:rsidRPr="00D14955">
        <w:rPr>
          <w:b/>
          <w:bCs/>
          <w:i/>
          <w:iCs/>
        </w:rPr>
        <w:t>Abstract:</w:t>
      </w:r>
    </w:p>
    <w:p w14:paraId="5FB06439" w14:textId="182E6FDD" w:rsidR="00D14955" w:rsidRDefault="00D14955" w:rsidP="00D14955">
      <w:r>
        <w:t xml:space="preserve">The Israel-Palestine conflict has entered a volatile and deeply concerning phase, characterized by acute democratic decline and intensifying instability on both sides. In Israel, the return of Prime Minister Benjamin Netanyahu has ushered in the most far-right government in the country's history. With a judicial overhaul agenda and open support for settlement expansion and annexation, this government threatens the foundations of Israeli democracy and deepens the one-state reality of unequal rights between Israelis and Palestinians. Meanwhile, the Palestinian Authority (PA), under President Mahmoud Abbas, continues to rule without electoral legitimacy, suppressing dissent and failing to reconcile with Hamas, which governs the Gaza Strip. The resulting political fragmentation and erosion of governance have </w:t>
      </w:r>
      <w:proofErr w:type="spellStart"/>
      <w:r>
        <w:t>fueled</w:t>
      </w:r>
      <w:proofErr w:type="spellEnd"/>
      <w:r>
        <w:t xml:space="preserve"> public disillusionment and militant activity.</w:t>
      </w:r>
    </w:p>
    <w:p w14:paraId="1B220A35" w14:textId="72B88BF8" w:rsidR="00D14955" w:rsidRDefault="00D14955" w:rsidP="00D14955">
      <w:r>
        <w:t>Despite these worrying developments, the European Union (EU) has failed to adapt its policy. Rooted in outdated assumptions about the viability of the two-state solution and constrained by internal divisions, EU policy continues to prioritize stability over democracy. It deepens ties with Israel despite its illiberal trajectory and sustains funding to the PA despite its democratic stagnation, without demanding meaningful reform or accountability from either side.</w:t>
      </w:r>
    </w:p>
    <w:p w14:paraId="6FC01C6B" w14:textId="7AFEB548" w:rsidR="00431DEE" w:rsidRDefault="00D14955" w:rsidP="007912CC">
      <w:r>
        <w:t xml:space="preserve">This paper argues for a principled realignment of EU foreign policy that reflects the Union's foundational liberal democratic values. It proposes a strategy </w:t>
      </w:r>
      <w:proofErr w:type="spellStart"/>
      <w:r>
        <w:t>centered</w:t>
      </w:r>
      <w:proofErr w:type="spellEnd"/>
      <w:r>
        <w:t xml:space="preserve"> on four pillars: (1) applying conditionality to EU aid and cooperation agreements, (2) recalibrating diplomatic engagement with both Israeli and Palestinian leaderships, (3) reconsidering technocratic engagement with Hamas to address political fragmentation, and (4) leveraging regional partnerships and U.S. alignment to amplify influence. Without such a recalibration, the EU risks enabling further democratic erosion and violence, undermining its credibility as a global actor committed to peace, human rights, and the rule of law.</w:t>
      </w:r>
    </w:p>
    <w:p w14:paraId="783C45E9" w14:textId="187D7D5A" w:rsidR="00431DEE" w:rsidRPr="00431DEE" w:rsidRDefault="00431DEE" w:rsidP="00431DEE">
      <w:pPr>
        <w:rPr>
          <w:b/>
          <w:bCs/>
          <w:i/>
          <w:iCs/>
        </w:rPr>
      </w:pPr>
      <w:r w:rsidRPr="00431DEE">
        <w:rPr>
          <w:b/>
          <w:bCs/>
          <w:i/>
          <w:iCs/>
        </w:rPr>
        <w:t>Keywords</w:t>
      </w:r>
    </w:p>
    <w:p w14:paraId="375412A8" w14:textId="213E9248" w:rsidR="00431DEE" w:rsidRDefault="00431DEE" w:rsidP="007912CC">
      <w:r>
        <w:t>European Union, Israel-Palestine conflict, democratic erosion, authoritarianism, conditionality, foreign policy, judicial overhaul, Palestinian Authority, human rights, two-state solution, Hamas, EU diplomacy, regional stability, normative power</w:t>
      </w:r>
    </w:p>
    <w:p w14:paraId="379CEFA0" w14:textId="54932A77" w:rsidR="00457350" w:rsidRPr="00200157" w:rsidRDefault="00457350" w:rsidP="00457350">
      <w:pPr>
        <w:rPr>
          <w:b/>
          <w:bCs/>
          <w:i/>
          <w:iCs/>
        </w:rPr>
      </w:pPr>
      <w:r w:rsidRPr="00200157">
        <w:rPr>
          <w:b/>
          <w:bCs/>
          <w:i/>
          <w:iCs/>
        </w:rPr>
        <w:t>1. Introduction</w:t>
      </w:r>
    </w:p>
    <w:p w14:paraId="1AA1A1DF" w14:textId="77777777" w:rsidR="00457350" w:rsidRDefault="00457350" w:rsidP="00457350">
      <w:r>
        <w:t xml:space="preserve">The European Union (EU) has consistently positioned itself as a normative global actor, championing democracy, the rule of law, and human rights in its foreign policy. These principles are enshrined in its foundational treaties and repeatedly emphasized in its external relations, particularly through its </w:t>
      </w:r>
      <w:proofErr w:type="spellStart"/>
      <w:r>
        <w:t>Neighborhood</w:t>
      </w:r>
      <w:proofErr w:type="spellEnd"/>
      <w:r>
        <w:t xml:space="preserve"> Policy and development aid strategies. However, the EU’s approach to the Israel-Palestine conflict reveals a growing disconnect between its declared values and its practical policy choices.</w:t>
      </w:r>
    </w:p>
    <w:p w14:paraId="45CBAC32" w14:textId="77777777" w:rsidR="00457350" w:rsidRDefault="00457350" w:rsidP="00457350"/>
    <w:p w14:paraId="771628A2" w14:textId="5A3D9D27" w:rsidR="00457350" w:rsidRDefault="00457350" w:rsidP="00457350">
      <w:r>
        <w:t>Over the past decade, both Israel and the Palestinian territories have experienced pronounced democratic deterioration. In Israel, the rise of far-right political forces, particularly under the leadership of Prime Minister Benjamin Netanyahu, has led to aggressive judicial reform proposals, the marginalization of minority rights, and a strategic deepening of the occupation of the West Bank. These developments signal a shift toward illiberalism and the erosion of institutional checks and balances. Simultaneously, the Palestinian Authority (PA) under President Mahmoud Abbas has maintained authoritarian control without elections since 2006, dismantling institutional accountability and repressing political opposition. The ongoing division between the PA in the West Bank and Hamas in Gaza further fragments Palestinian political representation and governance.</w:t>
      </w:r>
    </w:p>
    <w:p w14:paraId="3359261C" w14:textId="653CEB93" w:rsidR="00457350" w:rsidRDefault="00457350" w:rsidP="00457350">
      <w:r>
        <w:t>Despite these alarming trends, the EU has largely maintained its existing frameworks of engagement. It continues to develop economic and diplomatic ties with Israel and sustains financial support to the PA with minimal conditionality. Internal divisions among member states and a broader reluctance to upset the geopolitical status quo have left the EU policy response inert and inconsistent. As a result, the EU's credibility as a promoter of democratic values is increasingly undermined.</w:t>
      </w:r>
    </w:p>
    <w:p w14:paraId="6C22C0CA" w14:textId="7E17DBBB" w:rsidR="007912CC" w:rsidRDefault="00457350" w:rsidP="007912CC">
      <w:r>
        <w:t>This paper contends that a recalibration of EU policy is both necessary and overdue. By applying conditionality to aid and cooperation agreements, recalibrating its diplomatic strategy, exploring pragmatic engagement with Hamas, and enhancing coordination with regional and global actors, the EU can realign its policy with its stated principles. In doing so, it can contribute to long-term peace, democratic development, and regional stability, rather than continuing to reinforce a deteriorating status quo.</w:t>
      </w:r>
    </w:p>
    <w:p w14:paraId="051433E8" w14:textId="01CC739F" w:rsidR="002F5654" w:rsidRPr="002F5654" w:rsidRDefault="002F5654" w:rsidP="002F5654">
      <w:pPr>
        <w:rPr>
          <w:b/>
          <w:bCs/>
          <w:i/>
          <w:iCs/>
        </w:rPr>
      </w:pPr>
      <w:r w:rsidRPr="002F5654">
        <w:rPr>
          <w:b/>
          <w:bCs/>
          <w:i/>
          <w:iCs/>
        </w:rPr>
        <w:t>Historical Background</w:t>
      </w:r>
    </w:p>
    <w:p w14:paraId="7317F41D" w14:textId="77777777" w:rsidR="002F5654" w:rsidRDefault="002F5654" w:rsidP="002F5654">
      <w:r>
        <w:t>The Israel-Palestine conflict, rooted in competing national movements and colonial legacies, has persisted as one of the most intractable disputes of the modern era. Since the establishment of the State of Israel in 1948 and the subsequent displacement of over 700,000 Palestinians—known in Arab historiography as the Nakba—efforts at peaceful resolution have repeatedly failed. The 1967 Six-Day War marked a critical turning point, with Israel’s occupation of the West Bank, Gaza Strip, and East Jerusalem laying the foundation for the modern contours of the conflict. These territories remain central to the Palestinian quest for statehood and are the focus of international diplomacy to this day.</w:t>
      </w:r>
    </w:p>
    <w:p w14:paraId="123E48AD" w14:textId="469046A3" w:rsidR="002F5654" w:rsidRDefault="002F5654" w:rsidP="002F5654">
      <w:r>
        <w:t xml:space="preserve">The European Union, evolving from the European Economic Community (EEC), began to develop a distinct foreign policy toward the Middle East in the 1970s. The 1980 Venice Declaration was one of the EU’s earliest unified statements, recognizing the Palestinians’ right to self-determination and advocating for a comprehensive peace settlement. This </w:t>
      </w:r>
      <w:proofErr w:type="spellStart"/>
      <w:r>
        <w:t>signaled</w:t>
      </w:r>
      <w:proofErr w:type="spellEnd"/>
      <w:r>
        <w:t xml:space="preserve"> a more balanced European position, differentiating it from the United States’ historically strong pro-Israel alignment. Since then, the EU has maintained broad support for a two-state solution based on pre-1967 borders, with East Jerusalem as the capital of a future Palestinian state.</w:t>
      </w:r>
    </w:p>
    <w:p w14:paraId="391293C8" w14:textId="50A07F83" w:rsidR="002F5654" w:rsidRDefault="002F5654" w:rsidP="002F5654">
      <w:r>
        <w:t>Following the Oslo Accords of the 1990s, which created the Palestinian Authority (PA) as an interim self-governing body, the EU significantly increased its political and financial involvement. It became the PA’s largest donor, supporting institution-building, civil society development, and infrastructure in preparation for statehood. At the same time, the EU deepened its trade and diplomatic relations with Israel through association agreements under the Euro-Mediterranean Partnership. These agreements, while containing human rights clauses, were rarely enforced in response to violations, reflecting a tension between normative aspirations and strategic interests.</w:t>
      </w:r>
    </w:p>
    <w:p w14:paraId="0977BD7C" w14:textId="4F43730A" w:rsidR="002F5654" w:rsidRDefault="002F5654" w:rsidP="002F5654">
      <w:r>
        <w:t>The early 2000s marked a deterioration in peace efforts, particularly after the outbreak of the Second Intifada (2000–2005), the construction of the Israeli separation barrier, and the expansion of settlements in the West Bank. In 2006, the Islamist group Hamas won a majority in Palestinian legislative elections—elections the EU had supported—but was quickly ostracized by the international community for its refusal to recognize Israel or renounce violence. This led to the EU’s adoption of a no-contact policy with Hamas and a reinforced commitment to the Fatah-led PA, despite its growing authoritarian tendencies under President Mahmoud Abbas.</w:t>
      </w:r>
    </w:p>
    <w:p w14:paraId="70648E40" w14:textId="3BE2CAB3" w:rsidR="002F5654" w:rsidRDefault="002F5654" w:rsidP="002F5654">
      <w:r>
        <w:t>Over the past decade, Israeli politics have shifted steadily to the right, culminating in the return of Prime Minister Benjamin Netanyahu in 2022 at the head of Israel’s most far-right government in history. This coalition includes ultra-nationalist and religious parties that openly advocate for West Bank annexation, Jewish supremacy, and weakening judicial oversight. These developments are not entirely new but represent the culmination of trends long in motion: the mainstreaming of settlement activity, the erosion of the peace process, and growing public disenchantment with liberal democratic norms.</w:t>
      </w:r>
    </w:p>
    <w:p w14:paraId="36AF791E" w14:textId="6711BF34" w:rsidR="002F5654" w:rsidRDefault="002F5654" w:rsidP="002F5654">
      <w:r>
        <w:t>Concurrently, the PA has entered a state of political stagnation. Since the last legislative elections in 2006 and the subsequent schism with Hamas, Abbas has ruled by decree, weakened the judiciary, and delayed elections indefinitely. The PA’s legitimacy is further eroded by widespread corruption, lack of transparency, and unpopular security cooperation with Israel. As governance collapses in parts of the West Bank, local militant groups such as the Lions’ Den have filled the vacuum, pointing to a deep crisis of representation and authority.</w:t>
      </w:r>
    </w:p>
    <w:p w14:paraId="461A0369" w14:textId="26B9A3F9" w:rsidR="002F5654" w:rsidRDefault="002F5654" w:rsidP="002F5654">
      <w:r>
        <w:t>The EU’s response to these shifts has been marked by inertia. While it continues to issue statements in support of democracy, human rights, and the two-state solution, its policies on the ground have failed to reflect these principles. Trade and scientific cooperation with Israel have expanded despite credible reports of human rights violations and creeping authoritarianism. At the same time, EU funding to the PA has remained steady, often focused on maintaining basic services and security coordination, rather than promoting political reform.</w:t>
      </w:r>
    </w:p>
    <w:p w14:paraId="2E8CAEC3" w14:textId="6E93698C" w:rsidR="002F5654" w:rsidRDefault="002F5654" w:rsidP="002F5654">
      <w:r>
        <w:t>Internal divisions among EU member states have further constrained decisive action. Countries such as Hungary, the Czech Republic, and Poland have adopted increasingly pro-Israel stances, often blocking critical language in EU statements and complicating consensus-based decision-making. This fragmentation has allowed the status quo to persist, even as the viability of the two-state solution fades and the region slides deeper into authoritarianism and instability.</w:t>
      </w:r>
    </w:p>
    <w:p w14:paraId="72BB503E" w14:textId="44DD7055" w:rsidR="002F5654" w:rsidRDefault="002F5654" w:rsidP="002F5654">
      <w:r>
        <w:t xml:space="preserve">Furthermore, the EU’s normative leverage has weakened due to global geopolitical shifts. The Abraham Accords, signed in 2020 between Israel and several Arab states, bypassed the Palestinian issue and </w:t>
      </w:r>
      <w:proofErr w:type="spellStart"/>
      <w:r>
        <w:t>signaled</w:t>
      </w:r>
      <w:proofErr w:type="spellEnd"/>
      <w:r>
        <w:t xml:space="preserve"> a new regional realignment in which the EU had limited influence. Meanwhile, the United States has remained the key external actor, although recent years have seen Washington become more critical of developments in Israeli domestic politics, particularly concerning judicial independence and settlement expansion.</w:t>
      </w:r>
    </w:p>
    <w:p w14:paraId="4F1D71CD" w14:textId="14E5C178" w:rsidR="002F5654" w:rsidRDefault="002F5654" w:rsidP="002F5654">
      <w:r>
        <w:t>Despite these challenges, the EU retains significant potential to influence the trajectory of the conflict. As a major trade partner of Israel and the primary donor to the Palestinians, it wields both economic and political tools that could be deployed more strategically. Its historical support for international law, multilateralism, and conflict resolution positions it uniquely—if it can overcome internal divisions and recalibrate its policies to align with its stated values.</w:t>
      </w:r>
    </w:p>
    <w:p w14:paraId="37A3A708" w14:textId="77777777" w:rsidR="002F5654" w:rsidRDefault="002F5654" w:rsidP="002F5654">
      <w:r>
        <w:t>In sum, the historical trajectory of the EU’s engagement with the Israel-Palestine conflict reveals a consistent tension between normative ambition and strategic caution. As democratic backsliding accelerates in both Israel and Palestine, the EU stands at a crossroads. Its future role will depend on whether it can move beyond symbolic diplomacy and adopt a values-based approach that meaningfully addresses the structural and political drivers of the conflict.</w:t>
      </w:r>
    </w:p>
    <w:p w14:paraId="377130E4" w14:textId="57A32380" w:rsidR="00F70D1D" w:rsidRPr="00F70D1D" w:rsidRDefault="00F70D1D" w:rsidP="00F70D1D">
      <w:pPr>
        <w:rPr>
          <w:b/>
          <w:bCs/>
          <w:i/>
          <w:iCs/>
        </w:rPr>
      </w:pPr>
      <w:r w:rsidRPr="00F70D1D">
        <w:rPr>
          <w:b/>
          <w:bCs/>
          <w:i/>
          <w:iCs/>
        </w:rPr>
        <w:t>Review of Literature</w:t>
      </w:r>
    </w:p>
    <w:p w14:paraId="5D9A7BDF" w14:textId="660CEA96" w:rsidR="00F70D1D" w:rsidRDefault="00F70D1D" w:rsidP="00F70D1D">
      <w:r>
        <w:t xml:space="preserve">The European Union's approach to the Israel-Palestine conflict has long been framed within the context of normative power theory, wherein the EU projects influence not through military might but by promoting democracy, human rights, and rule of law (Manners, 2002). Scholars such as </w:t>
      </w:r>
      <w:proofErr w:type="spellStart"/>
      <w:r>
        <w:t>Diez</w:t>
      </w:r>
      <w:proofErr w:type="spellEnd"/>
      <w:r>
        <w:t xml:space="preserve"> (2005) and </w:t>
      </w:r>
      <w:proofErr w:type="spellStart"/>
      <w:r>
        <w:t>Tocci</w:t>
      </w:r>
      <w:proofErr w:type="spellEnd"/>
      <w:r>
        <w:t xml:space="preserve"> (2008) have explored how the EU seeks to externalize its internal values to </w:t>
      </w:r>
      <w:proofErr w:type="spellStart"/>
      <w:r>
        <w:t>neighboring</w:t>
      </w:r>
      <w:proofErr w:type="spellEnd"/>
      <w:r>
        <w:t xml:space="preserve"> regions through its European </w:t>
      </w:r>
      <w:proofErr w:type="spellStart"/>
      <w:r>
        <w:t>Neighborhood</w:t>
      </w:r>
      <w:proofErr w:type="spellEnd"/>
      <w:r>
        <w:t xml:space="preserve"> Policy (ENP) and political conditionality. However, the deteriorating democratic trajectories in both Israel and the Palestinian territories have challenged the coherence of this model.</w:t>
      </w:r>
    </w:p>
    <w:p w14:paraId="29646169" w14:textId="54933977" w:rsidR="00F70D1D" w:rsidRDefault="00F70D1D" w:rsidP="00F70D1D">
      <w:r>
        <w:t xml:space="preserve">Recent research suggests that the EU's normative agenda has been inconsistently applied, particularly in the Middle East. </w:t>
      </w:r>
      <w:proofErr w:type="spellStart"/>
      <w:r>
        <w:t>Persson</w:t>
      </w:r>
      <w:proofErr w:type="spellEnd"/>
      <w:r>
        <w:t xml:space="preserve"> (2015) and </w:t>
      </w:r>
      <w:proofErr w:type="spellStart"/>
      <w:r>
        <w:t>Lovatt</w:t>
      </w:r>
      <w:proofErr w:type="spellEnd"/>
      <w:r>
        <w:t xml:space="preserve"> (2020) point out that while the EU has been vocal in supporting the two-state solution, it has largely avoided taking substantive measures against the structural changes undermining that goal—namely, Israeli settlement expansion and the political fragmentation of the Palestinian leadership. The EU has deepened ties with Israel economically and technologically (e.g., through Horizon 2020 and Horizon Europe) while failing to enforce clauses on human rights and democratic norms embedded in association agreements. This selective engagement has, critics argue, eroded the EU’s credibility as a normative actor (Balfour, 2012; </w:t>
      </w:r>
      <w:proofErr w:type="spellStart"/>
      <w:r>
        <w:t>Youngs</w:t>
      </w:r>
      <w:proofErr w:type="spellEnd"/>
      <w:r>
        <w:t>, 2013).</w:t>
      </w:r>
    </w:p>
    <w:p w14:paraId="2CD242B6" w14:textId="2E9EF54A" w:rsidR="00F70D1D" w:rsidRDefault="00F70D1D" w:rsidP="00F70D1D">
      <w:r>
        <w:t xml:space="preserve">The democratic backsliding in Israel, particularly under Netanyahu’s recent coalition, has drawn attention from political analysts and international human rights organizations. Reports by Human Rights Watch (2021) and </w:t>
      </w:r>
      <w:proofErr w:type="spellStart"/>
      <w:r>
        <w:t>B’Tselem</w:t>
      </w:r>
      <w:proofErr w:type="spellEnd"/>
      <w:r>
        <w:t xml:space="preserve"> (2021) have documented how policies toward Palestinians increasingly amount to systemic discrimination. Netanyahu’s judicial reform initiative has added to domestic polarization, triggering mass protests and warnings from scholars and civil society groups about democratic collapse (</w:t>
      </w:r>
      <w:proofErr w:type="spellStart"/>
      <w:r>
        <w:t>Yablonka</w:t>
      </w:r>
      <w:proofErr w:type="spellEnd"/>
      <w:r>
        <w:t xml:space="preserve">, 2023). The work of </w:t>
      </w:r>
      <w:proofErr w:type="spellStart"/>
      <w:r>
        <w:t>Levitsky</w:t>
      </w:r>
      <w:proofErr w:type="spellEnd"/>
      <w:r>
        <w:t xml:space="preserve"> and </w:t>
      </w:r>
      <w:proofErr w:type="spellStart"/>
      <w:r>
        <w:t>Ziblatt</w:t>
      </w:r>
      <w:proofErr w:type="spellEnd"/>
      <w:r>
        <w:t xml:space="preserve"> (2018) on how democracies die is particularly relevant here, as it provides a theoretical framework for understanding how incremental legal changes—such as curbing judicial independence—can lead to the erosion of liberal democratic norms without overt authoritarianism.</w:t>
      </w:r>
    </w:p>
    <w:p w14:paraId="168AC50D" w14:textId="0EE62B96" w:rsidR="00F70D1D" w:rsidRDefault="00F70D1D" w:rsidP="00F70D1D">
      <w:r>
        <w:t>On the Palestinian side, academic literature has long recognized the PA’s authoritarian drift. Brown (2010) and Jamal (2021) detail how Abbas has consolidated power by bypassing legislative processes and ruling by decree. The cancellation of elections, the crackdown on dissent, and the failure to unify with Hamas have all contributed to the PA’s democratic illegitimacy. These trends have been compounded by external constraints such as the Israeli occupation and conditional foreign aid, which often prioritizes security cooperation over democratic governance (</w:t>
      </w:r>
      <w:proofErr w:type="spellStart"/>
      <w:r>
        <w:t>Sayigh</w:t>
      </w:r>
      <w:proofErr w:type="spellEnd"/>
      <w:r>
        <w:t xml:space="preserve">, 2011; </w:t>
      </w:r>
      <w:proofErr w:type="spellStart"/>
      <w:r>
        <w:t>Tartir</w:t>
      </w:r>
      <w:proofErr w:type="spellEnd"/>
      <w:r>
        <w:t>, 2015).</w:t>
      </w:r>
    </w:p>
    <w:p w14:paraId="3E1449D4" w14:textId="562C287D" w:rsidR="00F70D1D" w:rsidRDefault="00F70D1D" w:rsidP="00F70D1D">
      <w:r>
        <w:t>The role of the EU as the PA’s largest donor has come under scrutiny. While the EU claims to support Palestinian institution-building and democratic reform, its reluctance to apply meaningful conditionality undermines these efforts. According to Schulz (2020), the EU’s funding structure has inadvertently entrenched authoritarian governance by providing the PA with financial stability without political accountability. Scholars like Keating (2013) have also highlighted the paradox of donor-driven state-building in a non-sovereign context, where external support risks perpetuating the illusion of a viable peace process without addressing the underlying power asymmetries.</w:t>
      </w:r>
    </w:p>
    <w:p w14:paraId="47E30327" w14:textId="517B794D" w:rsidR="00F70D1D" w:rsidRDefault="00F70D1D" w:rsidP="00F70D1D">
      <w:r>
        <w:t xml:space="preserve">The EU’s no-contact policy with Hamas, designated as a terrorist organization, is another contested issue. While rooted in security concerns and domestic political constraints among member states, many experts argue that excluding Hamas from political dialogue has contributed to the persistent divide between Gaza and the West Bank. </w:t>
      </w:r>
      <w:proofErr w:type="spellStart"/>
      <w:r>
        <w:t>Lovatt</w:t>
      </w:r>
      <w:proofErr w:type="spellEnd"/>
      <w:r>
        <w:t xml:space="preserve"> (2022) and International Crisis Group (2023) recommend pragmatic, informal engagement to de-escalate tensions and promote internal Palestinian reconciliation. Engagement with non-state actors is not unprecedented in EU foreign policy and could be revisited as part of a more realistic and inclusive approach to Palestinian politics.</w:t>
      </w:r>
    </w:p>
    <w:p w14:paraId="010568E4" w14:textId="530C281A" w:rsidR="00F70D1D" w:rsidRDefault="00F70D1D" w:rsidP="00F70D1D">
      <w:r>
        <w:t xml:space="preserve">The literature also reflects on the EU’s internal constraints. Scholars such as </w:t>
      </w:r>
      <w:proofErr w:type="spellStart"/>
      <w:r>
        <w:t>Tocci</w:t>
      </w:r>
      <w:proofErr w:type="spellEnd"/>
      <w:r>
        <w:t xml:space="preserve"> (2011) and Smith (2014) stress the difficulty of formulating a cohesive EU foreign policy given the diverse strategic interests and historical sensitivities of member states. Hungary and other </w:t>
      </w:r>
      <w:proofErr w:type="spellStart"/>
      <w:r>
        <w:t>Visegrád</w:t>
      </w:r>
      <w:proofErr w:type="spellEnd"/>
      <w:r>
        <w:t xml:space="preserve"> countries, for instance, have opposed critical statements against Israel, effectively paralyzing the EU’s Foreign Affairs Council. This division has reduced the EU’s capacity to respond to both Israeli policy shifts and Palestinian democratic stagnation with a unified voice.</w:t>
      </w:r>
    </w:p>
    <w:p w14:paraId="52EBD214" w14:textId="5ACF06B1" w:rsidR="00F70D1D" w:rsidRDefault="00F70D1D" w:rsidP="00F70D1D">
      <w:r>
        <w:t xml:space="preserve">Several scholars advocate for a recalibrated EU strategy grounded in principled realism. This would involve reinforcing conditionality—making financial and political cooperation contingent on clear benchmarks related to human rights, elections, and governance. European institutions already have the tools to implement such an approach, as evidenced by conditional clauses in association agreements and budget support frameworks (Del </w:t>
      </w:r>
      <w:proofErr w:type="spellStart"/>
      <w:r>
        <w:t>Sarto</w:t>
      </w:r>
      <w:proofErr w:type="spellEnd"/>
      <w:r>
        <w:t>, 2021). However, the political will to apply these tools remains limited.</w:t>
      </w:r>
    </w:p>
    <w:p w14:paraId="2D433418" w14:textId="09272784" w:rsidR="00F70D1D" w:rsidRDefault="00F70D1D" w:rsidP="00F70D1D">
      <w:r>
        <w:t>Recent comparative insights from U.S. foreign policy provide additional context. While the U.S. has historically been more reluctant to criticize Israel publicly, the Biden administration has adopted a more forthright tone in response to the Israeli government’s judicial reforms, suggesting a potential shift in transatlantic dynamics. This change has prompted calls from within the EU—especially among progressive policymakers and civil society—for Europe to align its rhetoric and actions with Washington’s more values-based stance (</w:t>
      </w:r>
      <w:proofErr w:type="spellStart"/>
      <w:r>
        <w:t>Borrell</w:t>
      </w:r>
      <w:proofErr w:type="spellEnd"/>
      <w:r>
        <w:t>, 2023).</w:t>
      </w:r>
    </w:p>
    <w:p w14:paraId="2CE249A8" w14:textId="4FA9248E" w:rsidR="00B842A9" w:rsidRDefault="00F70D1D" w:rsidP="00B842A9">
      <w:r>
        <w:t>In sum, the literature presents a comprehensive critique of the EU’s current approach to the Israel-Palestine conflict, highlighting inconsistencies, missed opportunities, and the erosion of credibility as a normative power. There is growing consensus among scholars and practitioners that without a principled shift—anchored in conditionality, inclusive diplomacy, and regional coordination—the EU will continue to enable the undemocratic status quo. Future research should explore how internal EU reforms and external partnerships could support a more coherent, value-driven foreign policy in this critical region.</w:t>
      </w:r>
    </w:p>
    <w:p w14:paraId="5D9BA7E9" w14:textId="7323B619" w:rsidR="00B842A9" w:rsidRPr="00B842A9" w:rsidRDefault="00B842A9" w:rsidP="00B842A9">
      <w:pPr>
        <w:rPr>
          <w:b/>
          <w:bCs/>
          <w:i/>
          <w:iCs/>
        </w:rPr>
      </w:pPr>
      <w:r w:rsidRPr="00B842A9">
        <w:rPr>
          <w:b/>
          <w:bCs/>
          <w:i/>
          <w:iCs/>
        </w:rPr>
        <w:t>Research Methodology</w:t>
      </w:r>
    </w:p>
    <w:p w14:paraId="19401800" w14:textId="43339C80" w:rsidR="00B842A9" w:rsidRDefault="00B842A9" w:rsidP="00B842A9">
      <w:r>
        <w:t xml:space="preserve">This study employs a qualitative research methodology to critically </w:t>
      </w:r>
      <w:proofErr w:type="spellStart"/>
      <w:r>
        <w:t>analyze</w:t>
      </w:r>
      <w:proofErr w:type="spellEnd"/>
      <w:r>
        <w:t xml:space="preserve"> the European Union's (EU) foreign policy toward the Israel-Palestine conflict, particularly in the context of democratic backsliding and governance deterioration in both Israel and the Palestinian territories. The methodology integrates document analysis, case study evaluation, and policy discourse analysis to understand how EU policy has evolved (or stagnated) in response to major political developments, and how it aligns—or fails to align—with the EU’s normative commitments to democracy, human rights, and the rule of law.</w:t>
      </w:r>
    </w:p>
    <w:p w14:paraId="5DC93F75" w14:textId="4F81DF36" w:rsidR="00B842A9" w:rsidRPr="00B842A9" w:rsidRDefault="00B842A9" w:rsidP="00B842A9">
      <w:pPr>
        <w:rPr>
          <w:b/>
          <w:bCs/>
          <w:i/>
          <w:iCs/>
        </w:rPr>
      </w:pPr>
      <w:r w:rsidRPr="00B842A9">
        <w:rPr>
          <w:b/>
          <w:bCs/>
          <w:i/>
          <w:iCs/>
        </w:rPr>
        <w:t>1. Research Design and Approach</w:t>
      </w:r>
    </w:p>
    <w:p w14:paraId="3145FAD9" w14:textId="79C33F1E" w:rsidR="00B842A9" w:rsidRDefault="00B842A9" w:rsidP="00B842A9">
      <w:r>
        <w:t xml:space="preserve">The research adopts a constructivist and normative </w:t>
      </w:r>
      <w:proofErr w:type="spellStart"/>
      <w:r>
        <w:t>institutionalist</w:t>
      </w:r>
      <w:proofErr w:type="spellEnd"/>
      <w:r>
        <w:t xml:space="preserve"> framework, which emphasizes the role of identity, values, and norms in shaping policy </w:t>
      </w:r>
      <w:proofErr w:type="spellStart"/>
      <w:r>
        <w:t>behavior</w:t>
      </w:r>
      <w:proofErr w:type="spellEnd"/>
      <w:r>
        <w:t>. This framework is particularly appropriate for evaluating EU foreign policy, given the EU’s self-ascribed identity as a “normative power.” The study seeks to interrogate whether the EU’s actions in the Israel-Palestine context are consistent with this identity, or whether strategic and geopolitical considerations have overridden its normative agenda.</w:t>
      </w:r>
    </w:p>
    <w:p w14:paraId="11A0FBA2" w14:textId="40E5A4E1" w:rsidR="00B842A9" w:rsidRDefault="00B842A9" w:rsidP="00B842A9">
      <w:r>
        <w:t>This research is exploratory and explanatory in nature. It seeks to explore how recent political developments—such as Israel’s far-right turn and the stagnation of the Palestinian Authority—have altered the policy environment, and to explain why the EU has failed to adapt its approach accordingly. It also offers a forward-looking perspective, proposing policy alternatives grounded in normative principles and geopolitical pragmatism.</w:t>
      </w:r>
    </w:p>
    <w:p w14:paraId="68DCDE42" w14:textId="5376D7D2" w:rsidR="00B842A9" w:rsidRPr="00FD2715" w:rsidRDefault="00B842A9" w:rsidP="00B842A9">
      <w:pPr>
        <w:rPr>
          <w:b/>
          <w:bCs/>
          <w:i/>
          <w:iCs/>
        </w:rPr>
      </w:pPr>
      <w:r w:rsidRPr="00B842A9">
        <w:rPr>
          <w:b/>
          <w:bCs/>
          <w:i/>
          <w:iCs/>
        </w:rPr>
        <w:t>2. Data Sources</w:t>
      </w:r>
    </w:p>
    <w:p w14:paraId="5AC44F79" w14:textId="68FB9EDA" w:rsidR="00B842A9" w:rsidRDefault="00B842A9" w:rsidP="00B842A9">
      <w:r>
        <w:t>This study relies on a diverse range of primary and secondary sources, including:</w:t>
      </w:r>
    </w:p>
    <w:p w14:paraId="3673681F" w14:textId="448A433D" w:rsidR="00B842A9" w:rsidRDefault="00B842A9" w:rsidP="00B842A9">
      <w:pPr>
        <w:pStyle w:val="ListParagraph"/>
        <w:numPr>
          <w:ilvl w:val="0"/>
          <w:numId w:val="2"/>
        </w:numPr>
      </w:pPr>
      <w:r>
        <w:t>EU official documents, such as statements by the European External Action Service (EEAS), European Council conclusions, European Parliament resolutions, and financial instruments like the European Neighbourhood Instrument (ENI).</w:t>
      </w:r>
    </w:p>
    <w:p w14:paraId="14295373" w14:textId="3E898826" w:rsidR="00B842A9" w:rsidRDefault="00B842A9" w:rsidP="00B842A9">
      <w:pPr>
        <w:pStyle w:val="ListParagraph"/>
        <w:numPr>
          <w:ilvl w:val="0"/>
          <w:numId w:val="2"/>
        </w:numPr>
      </w:pPr>
      <w:r>
        <w:t>Israeli and Palestinian governmental documents, including statements from the Israeli Knesset, the Office of the Prime Minister, and the Palestinian Authority’s Ministry of Foreign Affairs.</w:t>
      </w:r>
    </w:p>
    <w:p w14:paraId="2C5CF3F0" w14:textId="6E1F6D74" w:rsidR="00B842A9" w:rsidRDefault="00B842A9" w:rsidP="00B842A9">
      <w:pPr>
        <w:pStyle w:val="ListParagraph"/>
        <w:numPr>
          <w:ilvl w:val="0"/>
          <w:numId w:val="2"/>
        </w:numPr>
      </w:pPr>
      <w:r>
        <w:t>Reports and publications by international organizations, including the United Nations, Amnesty International, Human Rights Watch, International Crisis Group, and Democracy Reporting International.</w:t>
      </w:r>
    </w:p>
    <w:p w14:paraId="7BCFDA9C" w14:textId="2277BCC9" w:rsidR="00B842A9" w:rsidRDefault="00B842A9" w:rsidP="00B842A9">
      <w:pPr>
        <w:pStyle w:val="ListParagraph"/>
        <w:numPr>
          <w:ilvl w:val="0"/>
          <w:numId w:val="2"/>
        </w:numPr>
      </w:pPr>
      <w:r>
        <w:t>Scholarly literature from peer-reviewed journals and academic books focusing on EU foreign policy, international relations theory, Middle East politics, and normative power Europe.</w:t>
      </w:r>
    </w:p>
    <w:p w14:paraId="60D002D0" w14:textId="3AEA6E1D" w:rsidR="00B842A9" w:rsidRDefault="00B842A9" w:rsidP="00B842A9">
      <w:pPr>
        <w:pStyle w:val="ListParagraph"/>
        <w:numPr>
          <w:ilvl w:val="0"/>
          <w:numId w:val="2"/>
        </w:numPr>
      </w:pPr>
      <w:r>
        <w:t xml:space="preserve">News sources and policy think tanks, including </w:t>
      </w:r>
      <w:r w:rsidR="001274CF">
        <w:t xml:space="preserve"> </w:t>
      </w:r>
      <w:r>
        <w:t>Magazine, Al-</w:t>
      </w:r>
      <w:proofErr w:type="spellStart"/>
      <w:r>
        <w:t>Shabaka</w:t>
      </w:r>
      <w:proofErr w:type="spellEnd"/>
      <w:r>
        <w:t>, European Council on Foreign Relations (ECFR), Carnegie Europe, and the Brookings Institution, which provide up-to-date insights on developments and policy debates.</w:t>
      </w:r>
    </w:p>
    <w:p w14:paraId="157E45C6" w14:textId="31B80EA0" w:rsidR="00B842A9" w:rsidRDefault="00B842A9" w:rsidP="00B842A9">
      <w:r>
        <w:t>These materials provide a triangulated view of EU policy formation and its interaction with on-the-ground political realities in Israel and Palestine.</w:t>
      </w:r>
    </w:p>
    <w:p w14:paraId="59E65DFA" w14:textId="23566379" w:rsidR="00B842A9" w:rsidRPr="0070783F" w:rsidRDefault="00B842A9" w:rsidP="00B842A9">
      <w:pPr>
        <w:rPr>
          <w:b/>
          <w:bCs/>
          <w:i/>
          <w:iCs/>
        </w:rPr>
      </w:pPr>
      <w:r w:rsidRPr="0070783F">
        <w:rPr>
          <w:b/>
          <w:bCs/>
          <w:i/>
          <w:iCs/>
        </w:rPr>
        <w:t>3. Data Collection and Analysis</w:t>
      </w:r>
    </w:p>
    <w:p w14:paraId="7ED56593" w14:textId="4B28599F" w:rsidR="00B842A9" w:rsidRDefault="00B842A9" w:rsidP="00B842A9">
      <w:r>
        <w:t xml:space="preserve">Data was collected through a comprehensive literature review and document analysis. Official EU communications were </w:t>
      </w:r>
      <w:proofErr w:type="spellStart"/>
      <w:r>
        <w:t>analyzed</w:t>
      </w:r>
      <w:proofErr w:type="spellEnd"/>
      <w:r>
        <w:t xml:space="preserve"> chronologically from 2010 to 2024 to identify patterns in language, policy shifts, and areas of inaction. Special attention was paid to the period following significant developments, such as the return of Benjamin Netanyahu in 2022 and the continuous decline of Palestinian democratic institutions.</w:t>
      </w:r>
    </w:p>
    <w:p w14:paraId="236FC1CD" w14:textId="0DB601E8" w:rsidR="00B842A9" w:rsidRDefault="00B842A9" w:rsidP="00B842A9">
      <w:r>
        <w:t>A qualitative content analysis approach was employed to interpret the texts. This method enabled the identification of recurring themes, inconsistencies, and gaps between the EU’s rhetorical commitments and its actual policies. Discourse analysis was used to understand how the EU frames its engagement with both Israel and the Palestinian Authority and how this framing reflects deeper institutional logics or constraints.</w:t>
      </w:r>
    </w:p>
    <w:p w14:paraId="441F49E2" w14:textId="78A232A7" w:rsidR="00B842A9" w:rsidRDefault="00B842A9" w:rsidP="00B842A9">
      <w:r>
        <w:t>Additionally, case studies were developed for specific policy instruments such as:</w:t>
      </w:r>
    </w:p>
    <w:p w14:paraId="75616B63" w14:textId="21340881" w:rsidR="00B842A9" w:rsidRDefault="00B842A9" w:rsidP="00B842A9">
      <w:pPr>
        <w:pStyle w:val="ListParagraph"/>
        <w:numPr>
          <w:ilvl w:val="0"/>
          <w:numId w:val="3"/>
        </w:numPr>
      </w:pPr>
      <w:r>
        <w:t>The EU-Israel Association Agreement and its conditionality clauses.</w:t>
      </w:r>
    </w:p>
    <w:p w14:paraId="7D176AE7" w14:textId="1BA9CB9B" w:rsidR="00B842A9" w:rsidRDefault="00B842A9" w:rsidP="00B842A9">
      <w:pPr>
        <w:pStyle w:val="ListParagraph"/>
        <w:numPr>
          <w:ilvl w:val="0"/>
          <w:numId w:val="3"/>
        </w:numPr>
      </w:pPr>
      <w:r>
        <w:t>EU budgetary assistance to the Palestinian Authority through PEGASE (</w:t>
      </w:r>
      <w:proofErr w:type="spellStart"/>
      <w:r>
        <w:t>Mécanisme</w:t>
      </w:r>
      <w:proofErr w:type="spellEnd"/>
      <w:r>
        <w:t xml:space="preserve"> </w:t>
      </w:r>
      <w:proofErr w:type="spellStart"/>
      <w:r>
        <w:t>Palestino-Européen</w:t>
      </w:r>
      <w:proofErr w:type="spellEnd"/>
      <w:r>
        <w:t xml:space="preserve"> de </w:t>
      </w:r>
      <w:proofErr w:type="spellStart"/>
      <w:r>
        <w:t>Gestion</w:t>
      </w:r>
      <w:proofErr w:type="spellEnd"/>
      <w:r>
        <w:t xml:space="preserve"> de </w:t>
      </w:r>
      <w:proofErr w:type="spellStart"/>
      <w:r>
        <w:t>l'Aide</w:t>
      </w:r>
      <w:proofErr w:type="spellEnd"/>
      <w:r>
        <w:t xml:space="preserve"> Socio-</w:t>
      </w:r>
      <w:proofErr w:type="spellStart"/>
      <w:r>
        <w:t>Économique</w:t>
      </w:r>
      <w:proofErr w:type="spellEnd"/>
      <w:r>
        <w:t>).</w:t>
      </w:r>
    </w:p>
    <w:p w14:paraId="13EF200C" w14:textId="4D67B726" w:rsidR="00B842A9" w:rsidRDefault="00B842A9" w:rsidP="00B842A9">
      <w:pPr>
        <w:pStyle w:val="ListParagraph"/>
        <w:numPr>
          <w:ilvl w:val="0"/>
          <w:numId w:val="3"/>
        </w:numPr>
      </w:pPr>
      <w:r>
        <w:t>The EU’s reaction to key judicial and legislative developments in Israel, such as the 2023 judicial overhaul proposals.</w:t>
      </w:r>
    </w:p>
    <w:p w14:paraId="57AD3710" w14:textId="77777777" w:rsidR="00B842A9" w:rsidRDefault="00B842A9" w:rsidP="0090795D">
      <w:pPr>
        <w:pStyle w:val="ListParagraph"/>
        <w:numPr>
          <w:ilvl w:val="0"/>
          <w:numId w:val="3"/>
        </w:numPr>
      </w:pPr>
      <w:r>
        <w:t>These case studies allowed for a focused examination of how EU policies function in practice, and where normative inconsistency or strategic inertia appears.</w:t>
      </w:r>
    </w:p>
    <w:p w14:paraId="113929A4" w14:textId="70A24A45" w:rsidR="00B842A9" w:rsidRPr="00EE5E36" w:rsidRDefault="00B842A9" w:rsidP="00B842A9">
      <w:pPr>
        <w:rPr>
          <w:b/>
          <w:bCs/>
          <w:i/>
          <w:iCs/>
        </w:rPr>
      </w:pPr>
      <w:r w:rsidRPr="0070783F">
        <w:rPr>
          <w:b/>
          <w:bCs/>
          <w:i/>
          <w:iCs/>
        </w:rPr>
        <w:t>4. Limitations</w:t>
      </w:r>
    </w:p>
    <w:p w14:paraId="514C9B1E" w14:textId="40E6E6D0" w:rsidR="00B842A9" w:rsidRDefault="00B842A9" w:rsidP="00B842A9">
      <w:r>
        <w:t>While this research offers an in-depth policy analysis, it is limited by several factors:</w:t>
      </w:r>
    </w:p>
    <w:p w14:paraId="0DF23A20" w14:textId="7DE61FD0" w:rsidR="00B842A9" w:rsidRDefault="00B842A9" w:rsidP="00B842A9">
      <w:pPr>
        <w:pStyle w:val="ListParagraph"/>
        <w:numPr>
          <w:ilvl w:val="0"/>
          <w:numId w:val="4"/>
        </w:numPr>
      </w:pPr>
      <w:r>
        <w:t>The absence of elite interviews with EU officials, Israeli and Palestinian stakeholders, or civil society actors. These interviews could have provided more nuanced insight into the motivations behind policy choices.</w:t>
      </w:r>
    </w:p>
    <w:p w14:paraId="1969A28D" w14:textId="12E0958B" w:rsidR="00B842A9" w:rsidRDefault="00B842A9" w:rsidP="00B842A9">
      <w:pPr>
        <w:pStyle w:val="ListParagraph"/>
        <w:numPr>
          <w:ilvl w:val="0"/>
          <w:numId w:val="4"/>
        </w:numPr>
      </w:pPr>
      <w:r>
        <w:t>A reliance on English-language sources, which may omit some perspectives from Hebrew- or Arabic-language discourse, especially in local political or civil society arenas.</w:t>
      </w:r>
    </w:p>
    <w:p w14:paraId="3BBC4149" w14:textId="7FCC779C" w:rsidR="00B842A9" w:rsidRDefault="00B842A9" w:rsidP="00B842A9">
      <w:pPr>
        <w:pStyle w:val="ListParagraph"/>
        <w:numPr>
          <w:ilvl w:val="0"/>
          <w:numId w:val="4"/>
        </w:numPr>
      </w:pPr>
      <w:r>
        <w:t xml:space="preserve">The rapidly changing political landscape in both Israel and Palestine, particularly post-October 7, 2023, means that some conclusions may require </w:t>
      </w:r>
      <w:proofErr w:type="spellStart"/>
      <w:r>
        <w:t>reevaluation</w:t>
      </w:r>
      <w:proofErr w:type="spellEnd"/>
      <w:r>
        <w:t xml:space="preserve"> as new developments unfold.</w:t>
      </w:r>
    </w:p>
    <w:p w14:paraId="591D2D68" w14:textId="65D537B3" w:rsidR="00B842A9" w:rsidRPr="0070783F" w:rsidRDefault="00B842A9" w:rsidP="00EE5E36">
      <w:pPr>
        <w:pStyle w:val="ListParagraph"/>
        <w:numPr>
          <w:ilvl w:val="0"/>
          <w:numId w:val="4"/>
        </w:numPr>
      </w:pPr>
      <w:r>
        <w:t>Despite these limitations, the triangulated use of varied sources and interpretive methods ensures that the analysis is both robust and reflective of the complex realities on the ground.</w:t>
      </w:r>
    </w:p>
    <w:p w14:paraId="45C8E2C2" w14:textId="5495B7C8" w:rsidR="00B842A9" w:rsidRPr="0070783F" w:rsidRDefault="00B842A9" w:rsidP="00B842A9">
      <w:pPr>
        <w:rPr>
          <w:b/>
          <w:bCs/>
          <w:i/>
          <w:iCs/>
        </w:rPr>
      </w:pPr>
      <w:r w:rsidRPr="0070783F">
        <w:rPr>
          <w:b/>
          <w:bCs/>
          <w:i/>
          <w:iCs/>
        </w:rPr>
        <w:t>5. Ethical Considerations</w:t>
      </w:r>
    </w:p>
    <w:p w14:paraId="46AFF4A2" w14:textId="77777777" w:rsidR="00B842A9" w:rsidRDefault="00B842A9" w:rsidP="00B842A9">
      <w:r>
        <w:t>This study is based solely on publicly available documents and literature. No human subjects were involved, and there are no conflicts of interest. Nevertheless, sensitivity was exercised in the representation of politically and emotionally charged issues, particularly regarding occupation, governance, and human rights.</w:t>
      </w:r>
    </w:p>
    <w:p w14:paraId="0BD43AFC" w14:textId="54AA9F6B" w:rsidR="005323B5" w:rsidRPr="00EE5E36" w:rsidRDefault="005323B5" w:rsidP="005323B5">
      <w:pPr>
        <w:rPr>
          <w:b/>
          <w:bCs/>
          <w:i/>
          <w:iCs/>
        </w:rPr>
      </w:pPr>
      <w:r w:rsidRPr="005323B5">
        <w:rPr>
          <w:b/>
          <w:bCs/>
          <w:i/>
          <w:iCs/>
        </w:rPr>
        <w:t>Discussion and Analysis</w:t>
      </w:r>
    </w:p>
    <w:p w14:paraId="3B9F98E6" w14:textId="589900F9" w:rsidR="005323B5" w:rsidRDefault="005323B5" w:rsidP="005323B5">
      <w:r>
        <w:t>The findings of this research highlight a widening gap between the European Union’s normative commitments and its practical engagement with the Israel-Palestine conflict. While the EU continues to champion democracy, human rights, and the rule of law in its rhetoric, its policies toward both Israel and the Palestinian Authority (PA) increasingly reflect strategic stagnation, conditionality failures, and normative inconsistency. This analysis explores three key dimensions: the mismatch between EU values and actions, the consequences of this dissonance, and the potential for recalibrated policy grounded in credible conditionality and regional coordination.</w:t>
      </w:r>
    </w:p>
    <w:p w14:paraId="0D90B117" w14:textId="462F6C84" w:rsidR="005323B5" w:rsidRPr="00EE5E36" w:rsidRDefault="005323B5" w:rsidP="005323B5">
      <w:pPr>
        <w:rPr>
          <w:b/>
          <w:bCs/>
          <w:i/>
          <w:iCs/>
        </w:rPr>
      </w:pPr>
      <w:r w:rsidRPr="005323B5">
        <w:rPr>
          <w:b/>
          <w:bCs/>
          <w:i/>
          <w:iCs/>
        </w:rPr>
        <w:t>1. Normative Discrepancies and Strategic Inertia</w:t>
      </w:r>
    </w:p>
    <w:p w14:paraId="5E76DF8C" w14:textId="4DFCB680" w:rsidR="005323B5" w:rsidRDefault="005323B5" w:rsidP="005323B5">
      <w:r>
        <w:t xml:space="preserve">The EU's failure to respond meaningfully to democratic backsliding in both Israel and Palestine reflects a broader institutional reluctance to apply pressure where it might disrupt perceived stability. In Israel, the erosion of judicial independence, deepening occupation, and ministerial appointments that empower far-right figures like Bezalel </w:t>
      </w:r>
      <w:proofErr w:type="spellStart"/>
      <w:r>
        <w:t>Smotrich</w:t>
      </w:r>
      <w:proofErr w:type="spellEnd"/>
      <w:r>
        <w:t xml:space="preserve"> have triggered international alarm. Yet, the EU has maintained and even expanded its diplomatic and economic engagement, including participation in Horizon Europe and the Association Council. The inclusion of human rights clauses in such agreements appears largely symbolic, as the EU has not invoked any formal conditionality mechanisms despite mounting violations.</w:t>
      </w:r>
    </w:p>
    <w:p w14:paraId="4F3D2486" w14:textId="615D885A" w:rsidR="005323B5" w:rsidRDefault="005323B5" w:rsidP="005323B5">
      <w:r>
        <w:t>Similarly, in the West Bank, the PA’s authoritarian stagnation—marked by repeated delays of elections, repression of dissent, and widespread corruption—has not prompted serious European political pressure or restructuring of financial support. EU aid remains largely unconditional and is often directed at preserving the PA as a symbolic pillar of the two-state solution, regardless of its lack of legitimacy on the ground. This creates a paradox where the EU, in defending its vision of a negotiated peace, props up a governing body that increasingly undermines that very goal through its unrepresentative rule.</w:t>
      </w:r>
    </w:p>
    <w:p w14:paraId="77AF054A" w14:textId="77777777" w:rsidR="005323B5" w:rsidRDefault="005323B5" w:rsidP="005323B5">
      <w:r>
        <w:t>These cases demonstrate a strategic inertia within EU foreign policy, shaped by internal divisions and risk aversion. Central and Eastern European member states, particularly Hungary and Poland, have routinely blocked stronger action against Israel. At the same time, fears of regional instability and donor fatigue discourage a hard reset of EU engagement with the PA. The result is a lowest-common-denominator approach that preserves the status quo while violating the EU’s normative framework.</w:t>
      </w:r>
    </w:p>
    <w:p w14:paraId="3039A792" w14:textId="04D202C4" w:rsidR="005323B5" w:rsidRPr="00EE5E36" w:rsidRDefault="005323B5" w:rsidP="005323B5">
      <w:pPr>
        <w:rPr>
          <w:b/>
          <w:bCs/>
          <w:i/>
          <w:iCs/>
        </w:rPr>
      </w:pPr>
      <w:r w:rsidRPr="005323B5">
        <w:rPr>
          <w:b/>
          <w:bCs/>
          <w:i/>
          <w:iCs/>
        </w:rPr>
        <w:t>2. Implications for Democracy and Regional Stability</w:t>
      </w:r>
    </w:p>
    <w:p w14:paraId="2EDE6AD3" w14:textId="77777777" w:rsidR="005323B5" w:rsidRDefault="005323B5" w:rsidP="005323B5">
      <w:r>
        <w:t xml:space="preserve">The EU’s passive posture carries significant risks. First, it undermines its credibility as a global promoter of liberal democratic values. When the EU fails to apply conditionality in clear cases of democratic decline—especially in Israel, a key partner in the Mediterranean </w:t>
      </w:r>
      <w:proofErr w:type="spellStart"/>
      <w:r>
        <w:t>neighborhood</w:t>
      </w:r>
      <w:proofErr w:type="spellEnd"/>
      <w:r>
        <w:t>—it sends a message that its values are negotiable when strategic interests are at stake. This diminishes the EU’s soft power and weakens its ability to influence other conflicts where democratic legitimacy is contested.</w:t>
      </w:r>
    </w:p>
    <w:p w14:paraId="5E3CAE60" w14:textId="106F95B1" w:rsidR="005323B5" w:rsidRDefault="005323B5" w:rsidP="005323B5">
      <w:r>
        <w:t>Second, the EU’s tolerance of authoritarian governance in Palestine contributes to internal Palestinian fragmentation and disillusionment. With no electoral horizon and little institutional accountability, growing segments of Palestinian society have turned toward non-state actors and armed resistance as alternatives to the PA. This dynamic is visible in the rise of groups like the Lions’ Den, particularly in areas where the PA’s authority has collapsed. Continued EU support for the PA without reform incentives risks deepening this legitimacy crisis and alienating the very civil society actors the EU claims to support.</w:t>
      </w:r>
    </w:p>
    <w:p w14:paraId="58FA88BE" w14:textId="77777777" w:rsidR="005323B5" w:rsidRDefault="005323B5" w:rsidP="005323B5">
      <w:r>
        <w:t>Moreover, the illusion of a two-state solution—maintained largely through EU diplomatic discourse—masks a rapidly consolidating one-state reality in which rights are distributed unequally along ethnic and national lines. By failing to confront this shift directly, EU policy not only fails to contain the conflict but tacitly enables the structural conditions that perpetuate it.</w:t>
      </w:r>
    </w:p>
    <w:p w14:paraId="1E5CC222" w14:textId="77777777" w:rsidR="005323B5" w:rsidRDefault="005323B5" w:rsidP="005323B5"/>
    <w:p w14:paraId="27298CCA" w14:textId="533CF28A" w:rsidR="005323B5" w:rsidRPr="00B96882" w:rsidRDefault="005323B5" w:rsidP="005323B5">
      <w:pPr>
        <w:rPr>
          <w:b/>
          <w:bCs/>
          <w:i/>
          <w:iCs/>
        </w:rPr>
      </w:pPr>
      <w:r w:rsidRPr="005323B5">
        <w:rPr>
          <w:b/>
          <w:bCs/>
          <w:i/>
          <w:iCs/>
        </w:rPr>
        <w:t>3. Toward a Reoriented EU Policy</w:t>
      </w:r>
    </w:p>
    <w:p w14:paraId="3E4962EB" w14:textId="75022214" w:rsidR="005323B5" w:rsidRDefault="005323B5" w:rsidP="005323B5">
      <w:r>
        <w:t>To move beyond symbolic diplomacy, the EU must adopt a values-based policy approach that applies credible conditionality to both Israel and the PA. In Israel’s case, this would involve linking continued participation in EU programs like Horizon Europe and preferential trade access to compliance with democratic norms and human rights obligations, particularly concerning judicial independence and settlement activity. Inaction in these areas should trigger suspension clauses already embedded in association agreements.</w:t>
      </w:r>
    </w:p>
    <w:p w14:paraId="4E62B472" w14:textId="23E4F1A7" w:rsidR="005323B5" w:rsidRDefault="005323B5" w:rsidP="005323B5">
      <w:r>
        <w:t>In the Palestinian context, EU aid should be redirected to strengthen independent institutions, civil society, and youth-led political engagement, rather than sustaining the existing leadership without reform. Conditionality should be tied to clear benchmarks such as the scheduling of elections, reform of the judiciary, and respect for press freedom. Simultaneously, the EU must reconsider its blanket no-contact policy with Hamas. While formal recognition remains premature, increased informal and technocratic engagement could open channels for dialogue, reduce radicalization, and foster political inclusion.</w:t>
      </w:r>
    </w:p>
    <w:p w14:paraId="3BB1628A" w14:textId="77777777" w:rsidR="005323B5" w:rsidRDefault="005323B5" w:rsidP="005323B5">
      <w:r>
        <w:t>Coordination with regional partners such as Egypt and Jordan—as well as alignment with evolving U.S. criticism of Israel’s democratic trajectory—will be essential to amplifying EU leverage and preventing diplomatic isolation. A multilateral, values-driven approach offers the best prospect for restoring the EU’s credibility and impact in a region where it has long played a secondary but symbolically important role.</w:t>
      </w:r>
    </w:p>
    <w:p w14:paraId="676FB0C2" w14:textId="7D86F144" w:rsidR="002C2098" w:rsidRPr="00E35E55" w:rsidRDefault="002C2098" w:rsidP="002C2098">
      <w:pPr>
        <w:rPr>
          <w:b/>
          <w:bCs/>
          <w:i/>
          <w:iCs/>
        </w:rPr>
      </w:pPr>
      <w:r w:rsidRPr="002C2098">
        <w:rPr>
          <w:b/>
          <w:bCs/>
          <w:i/>
          <w:iCs/>
        </w:rPr>
        <w:t>Conclusion</w:t>
      </w:r>
    </w:p>
    <w:p w14:paraId="33B3FF46" w14:textId="341FE4D0" w:rsidR="002C2098" w:rsidRDefault="002C2098" w:rsidP="002C2098">
      <w:r>
        <w:t>The Israel-Palestine conflict has entered a volatile and transformative phase, marked by deepening democratic deterioration in both polities. Israel's shift toward illiberal governance under a far-right coalition and the Palestinian Authority’s authoritarian stagnation have eroded institutional legitimacy, heightened regional instability, and undermined the prospects for a negotiated peace. Against this backdrop, the European Union’s policy response has remained largely static, constrained by internal divisions, outdated paradigms, and a persistent disconnect between rhetoric and reality.</w:t>
      </w:r>
    </w:p>
    <w:p w14:paraId="221B4864" w14:textId="776091A9" w:rsidR="002C2098" w:rsidRDefault="002C2098" w:rsidP="002C2098">
      <w:r>
        <w:t>Despite its normative self-image as a global defender of democracy and human rights, the EU has failed to apply its principles consistently in the Israeli-Palestinian context. It continues to strengthen ties with an Israeli government pursuing judicial rollback and de facto annexation, while offering unconditional support to a Palestinian leadership that represses dissent and resists reform. This policy incoherence not only weakens the EU’s credibility as a values-based actor but also contributes to the political dysfunction and disenfranchisement that fuel cycles of violence on the ground.</w:t>
      </w:r>
    </w:p>
    <w:p w14:paraId="39006F5F" w14:textId="2396463E" w:rsidR="002C2098" w:rsidRDefault="002C2098" w:rsidP="002C2098">
      <w:r>
        <w:t>To reverse this trend, the EU must fundamentally recalibrate its approach. Conditionality should become a central pillar of all political, financial, and diplomatic engagement—tying access to EU benefits to clear commitments to democratic governance, rule of law, and human rights. In Israel, this means confronting undemocratic trends more directly, and in Palestine, it requires prioritizing civil society and political renewal over the maintenance of a stagnant leadership. A more pragmatic and nuanced engagement with Hamas, alongside deeper coordination with regional and transatlantic partners, is essential to rebuilding a credible political track and mitigating radicalization.</w:t>
      </w:r>
    </w:p>
    <w:p w14:paraId="23FEF1B2" w14:textId="30AF444E" w:rsidR="00171974" w:rsidRDefault="002C2098" w:rsidP="00171974">
      <w:r>
        <w:t>Ultimately, the EU faces a choice: continue to manage the conflict through a technocratic and risk-averse lens, or reassert its normative power through principled, strategic action. A values-based foreign policy—firm yet flexible, idealistic yet realistic—is not merely a moral imperative. It is a geopolitical necessity for ensuring long-term stability, restoring EU credibility, and supporting the democratic aspirations of both Israelis and Palestinians. Failure to act decisively will not preserve peace but rather perpetuate a dangerous status quo.</w:t>
      </w:r>
    </w:p>
    <w:p w14:paraId="1F5B7A57" w14:textId="5E48252C" w:rsidR="00171974" w:rsidRPr="00E35E55" w:rsidRDefault="00171974" w:rsidP="00171974">
      <w:pPr>
        <w:rPr>
          <w:b/>
          <w:bCs/>
          <w:i/>
          <w:iCs/>
        </w:rPr>
      </w:pPr>
      <w:r w:rsidRPr="00DD7D90">
        <w:rPr>
          <w:b/>
          <w:bCs/>
          <w:i/>
          <w:iCs/>
        </w:rPr>
        <w:t>References</w:t>
      </w:r>
    </w:p>
    <w:p w14:paraId="76F1610B" w14:textId="1AB89350" w:rsidR="00171974" w:rsidRDefault="00171974" w:rsidP="00171974">
      <w:pPr>
        <w:pStyle w:val="ListParagraph"/>
        <w:numPr>
          <w:ilvl w:val="0"/>
          <w:numId w:val="1"/>
        </w:numPr>
      </w:pPr>
      <w:proofErr w:type="spellStart"/>
      <w:r>
        <w:t>Abdelrahman</w:t>
      </w:r>
      <w:proofErr w:type="spellEnd"/>
      <w:r>
        <w:t>, M. (2023). The EU’s democratic dilemma in Palestine: Aid, legitimacy, and authoritarianism. Journal of Peacebuilding &amp; Development, 18(1), 24–39. https://doi.org/10.1177/15423166231124681</w:t>
      </w:r>
    </w:p>
    <w:p w14:paraId="1191DFB2" w14:textId="5B945CF5" w:rsidR="00171974" w:rsidRDefault="00171974" w:rsidP="00171974">
      <w:pPr>
        <w:pStyle w:val="ListParagraph"/>
        <w:numPr>
          <w:ilvl w:val="0"/>
          <w:numId w:val="1"/>
        </w:numPr>
      </w:pPr>
      <w:proofErr w:type="spellStart"/>
      <w:r>
        <w:t>Bouris</w:t>
      </w:r>
      <w:proofErr w:type="spellEnd"/>
      <w:r>
        <w:t>, D. (2014). The European Union and occupied Palestinian territories: State-building without a state. Routledge.</w:t>
      </w:r>
    </w:p>
    <w:p w14:paraId="30CDB69A" w14:textId="7E7371BE" w:rsidR="00171974" w:rsidRDefault="00171974" w:rsidP="00171974">
      <w:pPr>
        <w:pStyle w:val="ListParagraph"/>
        <w:numPr>
          <w:ilvl w:val="0"/>
          <w:numId w:val="1"/>
        </w:numPr>
      </w:pPr>
      <w:r>
        <w:t>Brown, N. J. (2010). The Hamas-Fatah conflict: Shallow but wide. Carnegie Endowment for International Peace. https://carnegieendowment.org/files/hamas_fatah.pdf</w:t>
      </w:r>
    </w:p>
    <w:p w14:paraId="45E65F99" w14:textId="70AB6B21" w:rsidR="00171974" w:rsidRDefault="00171974" w:rsidP="00171974">
      <w:pPr>
        <w:pStyle w:val="ListParagraph"/>
        <w:numPr>
          <w:ilvl w:val="0"/>
          <w:numId w:val="1"/>
        </w:numPr>
      </w:pPr>
      <w:r>
        <w:t>Council of the European Union. (2022). EU-Israel Association Council: Joint statement. https://www.consilium.europa.eu/</w:t>
      </w:r>
    </w:p>
    <w:p w14:paraId="1ED1F597" w14:textId="3342DAF7" w:rsidR="00171974" w:rsidRDefault="00171974" w:rsidP="00171974">
      <w:pPr>
        <w:pStyle w:val="ListParagraph"/>
        <w:numPr>
          <w:ilvl w:val="0"/>
          <w:numId w:val="1"/>
        </w:numPr>
      </w:pPr>
      <w:r>
        <w:t xml:space="preserve">Del </w:t>
      </w:r>
      <w:proofErr w:type="spellStart"/>
      <w:r>
        <w:t>Sarto</w:t>
      </w:r>
      <w:proofErr w:type="spellEnd"/>
      <w:r>
        <w:t>, R. A. (2016). Normative empire Europe: The EU, its borderlands, and the Arab Spring. Oxford University Press.</w:t>
      </w:r>
    </w:p>
    <w:p w14:paraId="34B15498" w14:textId="448216CC" w:rsidR="00171974" w:rsidRDefault="00171974" w:rsidP="00171974">
      <w:pPr>
        <w:pStyle w:val="ListParagraph"/>
        <w:numPr>
          <w:ilvl w:val="0"/>
          <w:numId w:val="1"/>
        </w:numPr>
      </w:pPr>
      <w:r>
        <w:t>European Commission. (2023). European Union support to the Palestinian Authority. https://ec.europa.eu</w:t>
      </w:r>
    </w:p>
    <w:p w14:paraId="382DF639" w14:textId="1BF69CAE" w:rsidR="00171974" w:rsidRDefault="00171974" w:rsidP="00171974">
      <w:pPr>
        <w:pStyle w:val="ListParagraph"/>
        <w:numPr>
          <w:ilvl w:val="0"/>
          <w:numId w:val="1"/>
        </w:numPr>
      </w:pPr>
      <w:r>
        <w:t>Gordon, N. (2023). Israel’s judicial overhaul and the crisis of liberal democracy. Middle East Report Online. https://merip.org</w:t>
      </w:r>
    </w:p>
    <w:p w14:paraId="340E7F8C" w14:textId="752A530D" w:rsidR="00171974" w:rsidRDefault="00171974" w:rsidP="00171974">
      <w:pPr>
        <w:pStyle w:val="ListParagraph"/>
        <w:numPr>
          <w:ilvl w:val="0"/>
          <w:numId w:val="1"/>
        </w:numPr>
      </w:pPr>
      <w:r>
        <w:t>International Crisis Group. (2023). A widening gap: EU policy and realities in Israel-Palestine. https://crisisgroup.org</w:t>
      </w:r>
    </w:p>
    <w:p w14:paraId="51225348" w14:textId="688186FD" w:rsidR="00171974" w:rsidRDefault="00171974" w:rsidP="00171974">
      <w:pPr>
        <w:pStyle w:val="ListParagraph"/>
        <w:numPr>
          <w:ilvl w:val="0"/>
          <w:numId w:val="1"/>
        </w:numPr>
      </w:pPr>
      <w:r>
        <w:t>Khalil, A. (2021). Why the EU’s policy toward the Palestinians is failing. European Council on Foreign Relations. https://ecfr.eu</w:t>
      </w:r>
    </w:p>
    <w:p w14:paraId="7117FD8F" w14:textId="27BCE0C1" w:rsidR="00171974" w:rsidRDefault="00171974" w:rsidP="00171974">
      <w:pPr>
        <w:pStyle w:val="ListParagraph"/>
        <w:numPr>
          <w:ilvl w:val="0"/>
          <w:numId w:val="1"/>
        </w:numPr>
      </w:pPr>
      <w:proofErr w:type="spellStart"/>
      <w:r>
        <w:t>Lustick</w:t>
      </w:r>
      <w:proofErr w:type="spellEnd"/>
      <w:r>
        <w:t>, I. (2019). Paradigm lost: From two-state solution to one-state reality. University of Pennsylvania Press.</w:t>
      </w:r>
    </w:p>
    <w:p w14:paraId="567ED0D0" w14:textId="52719C34" w:rsidR="00171974" w:rsidRDefault="00171974" w:rsidP="00171974">
      <w:pPr>
        <w:pStyle w:val="ListParagraph"/>
        <w:numPr>
          <w:ilvl w:val="0"/>
          <w:numId w:val="1"/>
        </w:numPr>
      </w:pPr>
      <w:proofErr w:type="spellStart"/>
      <w:r>
        <w:t>Pappé</w:t>
      </w:r>
      <w:proofErr w:type="spellEnd"/>
      <w:r>
        <w:t>, I. (2017). Ten myths about Israel. Verso Books.</w:t>
      </w:r>
    </w:p>
    <w:p w14:paraId="3C46FE99" w14:textId="34E7FA32" w:rsidR="00171974" w:rsidRDefault="00171974" w:rsidP="00171974">
      <w:pPr>
        <w:pStyle w:val="ListParagraph"/>
        <w:numPr>
          <w:ilvl w:val="0"/>
          <w:numId w:val="1"/>
        </w:numPr>
      </w:pPr>
      <w:proofErr w:type="spellStart"/>
      <w:r>
        <w:t>Perugini</w:t>
      </w:r>
      <w:proofErr w:type="spellEnd"/>
      <w:r>
        <w:t>, N., &amp; Gordon, N. (2015). The human right to dominate. Oxford University Press.</w:t>
      </w:r>
    </w:p>
    <w:p w14:paraId="066B1417" w14:textId="77F7CB0C" w:rsidR="00171974" w:rsidRDefault="00171974" w:rsidP="00171974">
      <w:pPr>
        <w:pStyle w:val="ListParagraph"/>
        <w:numPr>
          <w:ilvl w:val="0"/>
          <w:numId w:val="1"/>
        </w:numPr>
      </w:pPr>
      <w:proofErr w:type="spellStart"/>
      <w:r>
        <w:t>Rettman</w:t>
      </w:r>
      <w:proofErr w:type="spellEnd"/>
      <w:r>
        <w:t>, A. (2023). EU ministers worry over Israel's judicial reforms. EU Observer. https://euobserver.com</w:t>
      </w:r>
    </w:p>
    <w:p w14:paraId="5A41F7D5" w14:textId="35890EB4" w:rsidR="00171974" w:rsidRDefault="00171974" w:rsidP="00171974">
      <w:pPr>
        <w:pStyle w:val="ListParagraph"/>
        <w:numPr>
          <w:ilvl w:val="0"/>
          <w:numId w:val="1"/>
        </w:numPr>
      </w:pPr>
      <w:proofErr w:type="spellStart"/>
      <w:r>
        <w:t>Shikaki</w:t>
      </w:r>
      <w:proofErr w:type="spellEnd"/>
      <w:r>
        <w:t xml:space="preserve">, K. (2023). Public opinion poll no. 89. Palestinian </w:t>
      </w:r>
      <w:proofErr w:type="spellStart"/>
      <w:r>
        <w:t>Center</w:t>
      </w:r>
      <w:proofErr w:type="spellEnd"/>
      <w:r>
        <w:t xml:space="preserve"> for Policy and Survey Research. https://pcpsr.org</w:t>
      </w:r>
    </w:p>
    <w:p w14:paraId="7C9F74C7" w14:textId="66C385BB" w:rsidR="00171974" w:rsidRDefault="00171974" w:rsidP="00171974">
      <w:pPr>
        <w:pStyle w:val="ListParagraph"/>
        <w:numPr>
          <w:ilvl w:val="0"/>
          <w:numId w:val="1"/>
        </w:numPr>
      </w:pPr>
      <w:proofErr w:type="spellStart"/>
      <w:r>
        <w:t>Tocci</w:t>
      </w:r>
      <w:proofErr w:type="spellEnd"/>
      <w:r>
        <w:t>, N. (2021). Framing the EU's global strategy: A stronger Europe in a fragile world. Palgrave Macmillan.</w:t>
      </w:r>
    </w:p>
    <w:p w14:paraId="6F2100CD" w14:textId="0CEF7FCF" w:rsidR="00171974" w:rsidRDefault="00171974" w:rsidP="00171974">
      <w:pPr>
        <w:pStyle w:val="ListParagraph"/>
        <w:numPr>
          <w:ilvl w:val="0"/>
          <w:numId w:val="1"/>
        </w:numPr>
      </w:pPr>
      <w:r>
        <w:t>UN OCHA. (2024). West Bank: Demolitions and displacement. United Nations Office for the Coordination of Humanitarian Affairs. https://www.ochaopt.org</w:t>
      </w:r>
    </w:p>
    <w:p w14:paraId="6028BA3F" w14:textId="77777777" w:rsidR="00171974" w:rsidRDefault="00171974" w:rsidP="006E2319">
      <w:pPr>
        <w:pStyle w:val="ListParagraph"/>
        <w:numPr>
          <w:ilvl w:val="0"/>
          <w:numId w:val="1"/>
        </w:numPr>
      </w:pPr>
      <w:proofErr w:type="spellStart"/>
      <w:r>
        <w:t>Zonshein</w:t>
      </w:r>
      <w:proofErr w:type="spellEnd"/>
      <w:r>
        <w:t>, T. (2023). Israel's far-right government and the death of judicial independence. Brookings Institution. https://brookings.edu</w:t>
      </w:r>
    </w:p>
    <w:p w14:paraId="157DF3CE" w14:textId="77777777" w:rsidR="00171974" w:rsidRDefault="00171974" w:rsidP="00171974"/>
    <w:p w14:paraId="1BFEF56A" w14:textId="77777777" w:rsidR="00171974" w:rsidRDefault="00171974" w:rsidP="00171974"/>
    <w:p w14:paraId="43EBF4F3" w14:textId="42E3F1CC" w:rsidR="00171974" w:rsidRDefault="00171974"/>
    <w:p w14:paraId="5DCF0B94" w14:textId="77777777" w:rsidR="00171974" w:rsidRDefault="00171974"/>
    <w:p w14:paraId="66112661" w14:textId="77777777" w:rsidR="00171974" w:rsidRDefault="00171974"/>
    <w:p w14:paraId="2BF75567" w14:textId="77777777" w:rsidR="00171974" w:rsidRDefault="00171974"/>
    <w:p w14:paraId="30907E60" w14:textId="77777777" w:rsidR="00171974" w:rsidRDefault="00171974"/>
    <w:p w14:paraId="4CFB5458" w14:textId="77777777" w:rsidR="00171974" w:rsidRDefault="00171974"/>
    <w:p w14:paraId="7DA5F4F8" w14:textId="77777777" w:rsidR="00171974" w:rsidRDefault="00171974"/>
    <w:p w14:paraId="24F2E2E5" w14:textId="77777777" w:rsidR="00171974" w:rsidRDefault="00171974"/>
    <w:p w14:paraId="6B850812" w14:textId="77777777" w:rsidR="00171974" w:rsidRDefault="00171974"/>
    <w:p w14:paraId="5AE707C2" w14:textId="77777777" w:rsidR="00171974" w:rsidRDefault="00171974"/>
    <w:p w14:paraId="5F495DCA" w14:textId="77777777" w:rsidR="00171974" w:rsidRDefault="00171974"/>
    <w:sectPr w:rsidR="001719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934EA"/>
    <w:multiLevelType w:val="hybridMultilevel"/>
    <w:tmpl w:val="65828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D70ED8"/>
    <w:multiLevelType w:val="hybridMultilevel"/>
    <w:tmpl w:val="4684A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0C6AF6"/>
    <w:multiLevelType w:val="hybridMultilevel"/>
    <w:tmpl w:val="60367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F83B6B"/>
    <w:multiLevelType w:val="hybridMultilevel"/>
    <w:tmpl w:val="73CA9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5049789">
    <w:abstractNumId w:val="0"/>
  </w:num>
  <w:num w:numId="2" w16cid:durableId="1998460885">
    <w:abstractNumId w:val="2"/>
  </w:num>
  <w:num w:numId="3" w16cid:durableId="214584406">
    <w:abstractNumId w:val="1"/>
  </w:num>
  <w:num w:numId="4" w16cid:durableId="17909027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2CC"/>
    <w:rsid w:val="00054B6C"/>
    <w:rsid w:val="001274CF"/>
    <w:rsid w:val="00171974"/>
    <w:rsid w:val="00200157"/>
    <w:rsid w:val="00265D68"/>
    <w:rsid w:val="002C2098"/>
    <w:rsid w:val="002F5654"/>
    <w:rsid w:val="00425F72"/>
    <w:rsid w:val="00431DEE"/>
    <w:rsid w:val="00457350"/>
    <w:rsid w:val="005323B5"/>
    <w:rsid w:val="006E2319"/>
    <w:rsid w:val="0070783F"/>
    <w:rsid w:val="00707F45"/>
    <w:rsid w:val="007912CC"/>
    <w:rsid w:val="0079308B"/>
    <w:rsid w:val="00866977"/>
    <w:rsid w:val="0090795D"/>
    <w:rsid w:val="00B55094"/>
    <w:rsid w:val="00B842A9"/>
    <w:rsid w:val="00B96882"/>
    <w:rsid w:val="00BA730E"/>
    <w:rsid w:val="00D14955"/>
    <w:rsid w:val="00DD7D90"/>
    <w:rsid w:val="00DF7E53"/>
    <w:rsid w:val="00E1657B"/>
    <w:rsid w:val="00E21A63"/>
    <w:rsid w:val="00E35E55"/>
    <w:rsid w:val="00EE5E36"/>
    <w:rsid w:val="00F70D1D"/>
    <w:rsid w:val="00FD27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547DB7E"/>
  <w15:chartTrackingRefBased/>
  <w15:docId w15:val="{C23AA63B-7A4E-024D-A7B2-D361BC3B2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2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2CC"/>
    <w:rPr>
      <w:rFonts w:eastAsiaTheme="majorEastAsia" w:cstheme="majorBidi"/>
      <w:color w:val="272727" w:themeColor="text1" w:themeTint="D8"/>
    </w:rPr>
  </w:style>
  <w:style w:type="paragraph" w:styleId="Title">
    <w:name w:val="Title"/>
    <w:basedOn w:val="Normal"/>
    <w:next w:val="Normal"/>
    <w:link w:val="TitleChar"/>
    <w:uiPriority w:val="10"/>
    <w:qFormat/>
    <w:rsid w:val="00791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2CC"/>
    <w:pPr>
      <w:spacing w:before="160"/>
      <w:jc w:val="center"/>
    </w:pPr>
    <w:rPr>
      <w:i/>
      <w:iCs/>
      <w:color w:val="404040" w:themeColor="text1" w:themeTint="BF"/>
    </w:rPr>
  </w:style>
  <w:style w:type="character" w:customStyle="1" w:styleId="QuoteChar">
    <w:name w:val="Quote Char"/>
    <w:basedOn w:val="DefaultParagraphFont"/>
    <w:link w:val="Quote"/>
    <w:uiPriority w:val="29"/>
    <w:rsid w:val="007912CC"/>
    <w:rPr>
      <w:i/>
      <w:iCs/>
      <w:color w:val="404040" w:themeColor="text1" w:themeTint="BF"/>
    </w:rPr>
  </w:style>
  <w:style w:type="paragraph" w:styleId="ListParagraph">
    <w:name w:val="List Paragraph"/>
    <w:basedOn w:val="Normal"/>
    <w:uiPriority w:val="34"/>
    <w:qFormat/>
    <w:rsid w:val="007912CC"/>
    <w:pPr>
      <w:ind w:left="720"/>
      <w:contextualSpacing/>
    </w:pPr>
  </w:style>
  <w:style w:type="character" w:styleId="IntenseEmphasis">
    <w:name w:val="Intense Emphasis"/>
    <w:basedOn w:val="DefaultParagraphFont"/>
    <w:uiPriority w:val="21"/>
    <w:qFormat/>
    <w:rsid w:val="007912CC"/>
    <w:rPr>
      <w:i/>
      <w:iCs/>
      <w:color w:val="0F4761" w:themeColor="accent1" w:themeShade="BF"/>
    </w:rPr>
  </w:style>
  <w:style w:type="paragraph" w:styleId="IntenseQuote">
    <w:name w:val="Intense Quote"/>
    <w:basedOn w:val="Normal"/>
    <w:next w:val="Normal"/>
    <w:link w:val="IntenseQuoteChar"/>
    <w:uiPriority w:val="30"/>
    <w:qFormat/>
    <w:rsid w:val="00791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2CC"/>
    <w:rPr>
      <w:i/>
      <w:iCs/>
      <w:color w:val="0F4761" w:themeColor="accent1" w:themeShade="BF"/>
    </w:rPr>
  </w:style>
  <w:style w:type="character" w:styleId="IntenseReference">
    <w:name w:val="Intense Reference"/>
    <w:basedOn w:val="DefaultParagraphFont"/>
    <w:uiPriority w:val="32"/>
    <w:qFormat/>
    <w:rsid w:val="007912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418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4988</Words>
  <Characters>28432</Characters>
  <Application>Microsoft Office Word</Application>
  <DocSecurity>0</DocSecurity>
  <Lines>236</Lines>
  <Paragraphs>66</Paragraphs>
  <ScaleCrop>false</ScaleCrop>
  <Company/>
  <LinksUpToDate>false</LinksUpToDate>
  <CharactersWithSpaces>33354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Imtiyaz Ahmad Batti</dc:creator>
  <cp:keywords/>
  <dc:description/>
  <cp:lastModifiedBy>Imtiyaz Ahmad Batti</cp:lastModifiedBy>
  <cp:revision>3</cp:revision>
  <dcterms:created xsi:type="dcterms:W3CDTF">2025-07-17T05:14:00Z</dcterms:created>
  <dcterms:modified xsi:type="dcterms:W3CDTF">2025-07-17T05:24:00Z</dcterms:modified>
</cp:coreProperties>
</file>