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14123" w14:textId="53E6165C" w:rsidR="00BA32F4" w:rsidRPr="00D230B4" w:rsidRDefault="00BA32F4" w:rsidP="00BA32F4">
      <w:pPr>
        <w:rPr>
          <w:b/>
          <w:bCs/>
          <w:i/>
          <w:iCs/>
        </w:rPr>
      </w:pPr>
      <w:r w:rsidRPr="00D230B4">
        <w:rPr>
          <w:b/>
          <w:bCs/>
          <w:i/>
          <w:iCs/>
        </w:rPr>
        <w:t xml:space="preserve">"The Concept of </w:t>
      </w:r>
      <w:proofErr w:type="spellStart"/>
      <w:r w:rsidRPr="00D230B4">
        <w:rPr>
          <w:b/>
          <w:bCs/>
          <w:i/>
          <w:iCs/>
        </w:rPr>
        <w:t>Tawhid</w:t>
      </w:r>
      <w:proofErr w:type="spellEnd"/>
      <w:r w:rsidRPr="00D230B4">
        <w:rPr>
          <w:b/>
          <w:bCs/>
          <w:i/>
          <w:iCs/>
        </w:rPr>
        <w:t xml:space="preserve"> (Monotheism) in Islamic Theology: Foundations and Implications"</w:t>
      </w:r>
    </w:p>
    <w:p w14:paraId="2BB32C47" w14:textId="4027B181" w:rsidR="00BA32F4" w:rsidRPr="00D230B4" w:rsidRDefault="00BA32F4" w:rsidP="00BA32F4">
      <w:pPr>
        <w:rPr>
          <w:b/>
          <w:bCs/>
          <w:i/>
          <w:iCs/>
        </w:rPr>
      </w:pPr>
      <w:r w:rsidRPr="00D230B4">
        <w:rPr>
          <w:b/>
          <w:bCs/>
          <w:i/>
          <w:iCs/>
        </w:rPr>
        <w:t>Abstract</w:t>
      </w:r>
    </w:p>
    <w:p w14:paraId="55DEA1A4" w14:textId="68F4925F" w:rsidR="00BA32F4" w:rsidRDefault="00BA32F4" w:rsidP="00BA32F4">
      <w:proofErr w:type="spellStart"/>
      <w:r>
        <w:t>Tawhid</w:t>
      </w:r>
      <w:proofErr w:type="spellEnd"/>
      <w:r>
        <w:t xml:space="preserve">, the belief in the absolute oneness and uniqueness of Allah, is the cornerstone of Islamic theology and spirituality. It shapes the Muslim worldview, defining the relationship between the Creator and His creation while influencing religious practice, ethical </w:t>
      </w:r>
      <w:proofErr w:type="spellStart"/>
      <w:r>
        <w:t>behavior</w:t>
      </w:r>
      <w:proofErr w:type="spellEnd"/>
      <w:r>
        <w:t xml:space="preserve">, and social order. This research paper explores the foundational principles of </w:t>
      </w:r>
      <w:proofErr w:type="spellStart"/>
      <w:r>
        <w:t>Tawhid</w:t>
      </w:r>
      <w:proofErr w:type="spellEnd"/>
      <w:r>
        <w:t>, tracing its roots in the Qur’an and Hadith and examining its development through classical and contemporary Islamic scholarship.</w:t>
      </w:r>
    </w:p>
    <w:p w14:paraId="6F27EA0C" w14:textId="3F385897" w:rsidR="00BA32F4" w:rsidRDefault="00BA32F4" w:rsidP="00BA32F4">
      <w:r>
        <w:t xml:space="preserve">The paper outlines the three main categories of </w:t>
      </w:r>
      <w:proofErr w:type="spellStart"/>
      <w:r>
        <w:t>Tawhid</w:t>
      </w:r>
      <w:proofErr w:type="spellEnd"/>
      <w:r>
        <w:t xml:space="preserve">: </w:t>
      </w:r>
      <w:proofErr w:type="spellStart"/>
      <w:r>
        <w:t>Tawhid</w:t>
      </w:r>
      <w:proofErr w:type="spellEnd"/>
      <w:r>
        <w:t xml:space="preserve"> al-</w:t>
      </w:r>
      <w:proofErr w:type="spellStart"/>
      <w:r>
        <w:t>Rububiyyah</w:t>
      </w:r>
      <w:proofErr w:type="spellEnd"/>
      <w:r>
        <w:t xml:space="preserve"> (Oneness of Lordship), which affirms that Allah alone is the Creator and </w:t>
      </w:r>
      <w:proofErr w:type="spellStart"/>
      <w:r>
        <w:t>Sustainer</w:t>
      </w:r>
      <w:proofErr w:type="spellEnd"/>
      <w:r>
        <w:t xml:space="preserve"> of the universe; </w:t>
      </w:r>
      <w:proofErr w:type="spellStart"/>
      <w:r>
        <w:t>Tawhid</w:t>
      </w:r>
      <w:proofErr w:type="spellEnd"/>
      <w:r>
        <w:t xml:space="preserve"> al-</w:t>
      </w:r>
      <w:proofErr w:type="spellStart"/>
      <w:r>
        <w:t>Asma</w:t>
      </w:r>
      <w:proofErr w:type="spellEnd"/>
      <w:r>
        <w:t xml:space="preserve"> </w:t>
      </w:r>
      <w:proofErr w:type="spellStart"/>
      <w:r>
        <w:t>wa</w:t>
      </w:r>
      <w:proofErr w:type="spellEnd"/>
      <w:r>
        <w:t xml:space="preserve"> al-</w:t>
      </w:r>
      <w:proofErr w:type="spellStart"/>
      <w:r>
        <w:t>Sifat</w:t>
      </w:r>
      <w:proofErr w:type="spellEnd"/>
      <w:r>
        <w:t xml:space="preserve"> (Oneness of Names and Attributes), which maintains that God’s attributes are unique and incomparable; and </w:t>
      </w:r>
      <w:proofErr w:type="spellStart"/>
      <w:r>
        <w:t>Tawhid</w:t>
      </w:r>
      <w:proofErr w:type="spellEnd"/>
      <w:r>
        <w:t xml:space="preserve"> al-</w:t>
      </w:r>
      <w:proofErr w:type="spellStart"/>
      <w:r>
        <w:t>Uluhiyyah</w:t>
      </w:r>
      <w:proofErr w:type="spellEnd"/>
      <w:r>
        <w:t xml:space="preserve"> (Oneness of Worship), which demands exclusive devotion to Allah in all acts of worship.</w:t>
      </w:r>
    </w:p>
    <w:p w14:paraId="73BE34AF" w14:textId="41CAA1D7" w:rsidR="00BA32F4" w:rsidRDefault="00BA32F4" w:rsidP="00BA32F4">
      <w:r>
        <w:t xml:space="preserve">Beyond theological doctrine, the study highlights the far-reaching implications of </w:t>
      </w:r>
      <w:proofErr w:type="spellStart"/>
      <w:r>
        <w:t>Tawhid</w:t>
      </w:r>
      <w:proofErr w:type="spellEnd"/>
      <w:r>
        <w:t xml:space="preserve">. Ethically, it </w:t>
      </w:r>
      <w:proofErr w:type="spellStart"/>
      <w:r>
        <w:t>instills</w:t>
      </w:r>
      <w:proofErr w:type="spellEnd"/>
      <w:r>
        <w:t xml:space="preserve"> a sense of personal accountability, moral responsibility, and justice. Socially and politically, it supports ideals of equality, freedom from oppression, and collective responsibility. Spiritually, it fosters inner peace, reliance on God (</w:t>
      </w:r>
      <w:proofErr w:type="spellStart"/>
      <w:r>
        <w:t>tawakkul</w:t>
      </w:r>
      <w:proofErr w:type="spellEnd"/>
      <w:r>
        <w:t>), and sincerity (</w:t>
      </w:r>
      <w:proofErr w:type="spellStart"/>
      <w:r>
        <w:t>ikhlas</w:t>
      </w:r>
      <w:proofErr w:type="spellEnd"/>
      <w:r>
        <w:t xml:space="preserve">) in worship. The paper also addresses the dangers of shirk (associating partners with God), which is considered the gravest sin in Islam, and critiques modern ideologies such as secularism and materialism that may undermine </w:t>
      </w:r>
      <w:proofErr w:type="spellStart"/>
      <w:r>
        <w:t>Tawhid</w:t>
      </w:r>
      <w:proofErr w:type="spellEnd"/>
      <w:r>
        <w:t xml:space="preserve"> in subtle ways.</w:t>
      </w:r>
    </w:p>
    <w:p w14:paraId="62F80AD1" w14:textId="77777777" w:rsidR="00BA32F4" w:rsidRDefault="00BA32F4" w:rsidP="00BA32F4">
      <w:r>
        <w:t xml:space="preserve">In conclusion, </w:t>
      </w:r>
      <w:proofErr w:type="spellStart"/>
      <w:r>
        <w:t>Tawhid</w:t>
      </w:r>
      <w:proofErr w:type="spellEnd"/>
      <w:r>
        <w:t xml:space="preserve"> is not just a theological concept but a comprehensive framework that unifies all aspects of a Muslim’s life. It provides spiritual grounding, moral direction, and a cohesive vision for individual and communal existence. In a pluralistic and increasingly secular world, understanding the depth and implications of </w:t>
      </w:r>
      <w:proofErr w:type="spellStart"/>
      <w:r>
        <w:t>Tawhid</w:t>
      </w:r>
      <w:proofErr w:type="spellEnd"/>
      <w:r>
        <w:t xml:space="preserve"> remains essential for both Muslims and those engaging in interfaith and intercultural dialogue.</w:t>
      </w:r>
    </w:p>
    <w:p w14:paraId="60C3EDAF" w14:textId="77777777" w:rsidR="00BA32F4" w:rsidRDefault="00BA32F4" w:rsidP="00BA32F4"/>
    <w:p w14:paraId="2873E8FF" w14:textId="77777777" w:rsidR="00DF53BC" w:rsidRDefault="00DF53BC" w:rsidP="00DF53BC">
      <w:r w:rsidRPr="00DF53BC">
        <w:rPr>
          <w:b/>
          <w:bCs/>
        </w:rPr>
        <w:t>Keywords</w:t>
      </w:r>
      <w:r>
        <w:t>:</w:t>
      </w:r>
    </w:p>
    <w:p w14:paraId="4006B520" w14:textId="7697E058" w:rsidR="00DF53BC" w:rsidRDefault="00DF53BC" w:rsidP="00BA32F4">
      <w:proofErr w:type="spellStart"/>
      <w:r>
        <w:t>Tawhid</w:t>
      </w:r>
      <w:proofErr w:type="spellEnd"/>
      <w:r>
        <w:t xml:space="preserve">, Monotheism, Islamic Theology, Qur’an, Shirk, Oneness of God, </w:t>
      </w:r>
      <w:proofErr w:type="spellStart"/>
      <w:r>
        <w:t>Tawhid</w:t>
      </w:r>
      <w:proofErr w:type="spellEnd"/>
      <w:r>
        <w:t xml:space="preserve"> al-</w:t>
      </w:r>
      <w:proofErr w:type="spellStart"/>
      <w:r>
        <w:t>Rububiyyah</w:t>
      </w:r>
      <w:proofErr w:type="spellEnd"/>
      <w:r>
        <w:t xml:space="preserve">, </w:t>
      </w:r>
      <w:proofErr w:type="spellStart"/>
      <w:r>
        <w:t>Tawhid</w:t>
      </w:r>
      <w:proofErr w:type="spellEnd"/>
      <w:r>
        <w:t xml:space="preserve"> al-</w:t>
      </w:r>
      <w:proofErr w:type="spellStart"/>
      <w:r>
        <w:t>Asma</w:t>
      </w:r>
      <w:proofErr w:type="spellEnd"/>
      <w:r>
        <w:t xml:space="preserve"> </w:t>
      </w:r>
      <w:proofErr w:type="spellStart"/>
      <w:r>
        <w:t>wa</w:t>
      </w:r>
      <w:proofErr w:type="spellEnd"/>
      <w:r>
        <w:t xml:space="preserve"> al-</w:t>
      </w:r>
      <w:proofErr w:type="spellStart"/>
      <w:r>
        <w:t>Sifat</w:t>
      </w:r>
      <w:proofErr w:type="spellEnd"/>
      <w:r>
        <w:t xml:space="preserve">, </w:t>
      </w:r>
      <w:proofErr w:type="spellStart"/>
      <w:r>
        <w:t>Tawhid</w:t>
      </w:r>
      <w:proofErr w:type="spellEnd"/>
      <w:r>
        <w:t xml:space="preserve"> al-</w:t>
      </w:r>
      <w:proofErr w:type="spellStart"/>
      <w:r>
        <w:t>Uluhiyyah</w:t>
      </w:r>
      <w:proofErr w:type="spellEnd"/>
      <w:r>
        <w:t>, Islamic Belief, Worship in Islam, Islamic Ethics, Islamic Monotheism, Islamic Spirituality, Islamic Worldview</w:t>
      </w:r>
    </w:p>
    <w:p w14:paraId="63035A53" w14:textId="77084830" w:rsidR="00427227" w:rsidRPr="007C389A" w:rsidRDefault="00427227" w:rsidP="00427227">
      <w:pPr>
        <w:rPr>
          <w:b/>
          <w:bCs/>
          <w:i/>
          <w:iCs/>
        </w:rPr>
      </w:pPr>
      <w:r w:rsidRPr="00E6634D">
        <w:rPr>
          <w:b/>
          <w:bCs/>
          <w:i/>
          <w:iCs/>
        </w:rPr>
        <w:t>Introduction</w:t>
      </w:r>
    </w:p>
    <w:p w14:paraId="13DB7376" w14:textId="2D103D4A" w:rsidR="00427227" w:rsidRDefault="00427227" w:rsidP="00427227">
      <w:proofErr w:type="spellStart"/>
      <w:r>
        <w:t>Tawhid</w:t>
      </w:r>
      <w:proofErr w:type="spellEnd"/>
      <w:r>
        <w:t xml:space="preserve">, the doctrine of the oneness of God, stands as the central pillar of Islamic theology and belief. Derived from the Arabic root word </w:t>
      </w:r>
      <w:proofErr w:type="spellStart"/>
      <w:r>
        <w:t>wahhada</w:t>
      </w:r>
      <w:proofErr w:type="spellEnd"/>
      <w:r>
        <w:t xml:space="preserve">, meaning “to unify” or “to declare as one,” </w:t>
      </w:r>
      <w:proofErr w:type="spellStart"/>
      <w:r>
        <w:t>Tawhid</w:t>
      </w:r>
      <w:proofErr w:type="spellEnd"/>
      <w:r>
        <w:t xml:space="preserve"> encapsulates the essence of the Islamic worldview: the uncompromising affirmation that there is only one, unique, indivisible God—Allah. This principle forms the foundation upon which all other elements of Islamic faith, practice, law, and ethics are constructed. It is the first and most important declaration a Muslim makes: La </w:t>
      </w:r>
      <w:proofErr w:type="spellStart"/>
      <w:r>
        <w:t>ilaha</w:t>
      </w:r>
      <w:proofErr w:type="spellEnd"/>
      <w:r>
        <w:t xml:space="preserve"> </w:t>
      </w:r>
      <w:proofErr w:type="spellStart"/>
      <w:r>
        <w:t>illa</w:t>
      </w:r>
      <w:proofErr w:type="spellEnd"/>
      <w:r>
        <w:t xml:space="preserve"> Allah—“There is no deity but Allah.”</w:t>
      </w:r>
    </w:p>
    <w:p w14:paraId="62BE05CA" w14:textId="23FF8A19" w:rsidR="00427227" w:rsidRDefault="00427227" w:rsidP="00427227">
      <w:r>
        <w:t xml:space="preserve">The significance of </w:t>
      </w:r>
      <w:proofErr w:type="spellStart"/>
      <w:r>
        <w:t>Tawhid</w:t>
      </w:r>
      <w:proofErr w:type="spellEnd"/>
      <w:r>
        <w:t xml:space="preserve"> extends beyond mere theological abstraction. It is both a spiritual creed and a practical orientation to life. Belief in </w:t>
      </w:r>
      <w:proofErr w:type="spellStart"/>
      <w:r>
        <w:t>Tawhid</w:t>
      </w:r>
      <w:proofErr w:type="spellEnd"/>
      <w:r>
        <w:t xml:space="preserve"> shapes a Muslim’s relationship with the divine, influences interpersonal ethics, and defines social and political engagement. It teaches that all power, knowledge, and authority belong to Allah alone, rejecting all forms of idolatry, whether physical, ideological, or psychological. In doing so, it offers a holistic framework for human existence that integrates faith, reason, and purpose.</w:t>
      </w:r>
    </w:p>
    <w:p w14:paraId="70475DD2" w14:textId="65260500" w:rsidR="00427227" w:rsidRDefault="00427227" w:rsidP="00427227">
      <w:r>
        <w:t xml:space="preserve">The development of </w:t>
      </w:r>
      <w:proofErr w:type="spellStart"/>
      <w:r>
        <w:t>Tawhid</w:t>
      </w:r>
      <w:proofErr w:type="spellEnd"/>
      <w:r>
        <w:t xml:space="preserve"> has evolved throughout Islamic history. While the Qur’an and Hadith provided the initial articulation of this monotheistic creed, subsequent scholars and theologians—ranging from the </w:t>
      </w:r>
      <w:proofErr w:type="spellStart"/>
      <w:r>
        <w:t>Mu‘tazilites</w:t>
      </w:r>
      <w:proofErr w:type="spellEnd"/>
      <w:r>
        <w:t xml:space="preserve"> and </w:t>
      </w:r>
      <w:proofErr w:type="spellStart"/>
      <w:r>
        <w:t>Ash‘arites</w:t>
      </w:r>
      <w:proofErr w:type="spellEnd"/>
      <w:r>
        <w:t xml:space="preserve"> to later reformers and mystics—contributed to its depth and scope. Theological debates emerged around how to reconcile divine attributes with absolute unity, how to understand God’s will in relation to human freedom, and how to express </w:t>
      </w:r>
      <w:proofErr w:type="spellStart"/>
      <w:r>
        <w:t>Tawhid</w:t>
      </w:r>
      <w:proofErr w:type="spellEnd"/>
      <w:r>
        <w:t xml:space="preserve"> in lived experience.</w:t>
      </w:r>
    </w:p>
    <w:p w14:paraId="5BBFF65B" w14:textId="7CE72743" w:rsidR="00DF53BC" w:rsidRDefault="00427227" w:rsidP="00BA32F4">
      <w:r>
        <w:t xml:space="preserve">In modern times, </w:t>
      </w:r>
      <w:proofErr w:type="spellStart"/>
      <w:r>
        <w:t>Tawhid</w:t>
      </w:r>
      <w:proofErr w:type="spellEnd"/>
      <w:r>
        <w:t xml:space="preserve"> remains a powerful force, not only in spiritual life but also in intellectual, ethical, and socio-political spheres. It challenges secular materialism and moral relativism by asserting a divinely rooted order to reality. This research paper explores the historical roots, theological framework, and enduring implications of </w:t>
      </w:r>
      <w:proofErr w:type="spellStart"/>
      <w:r>
        <w:t>Tawhid</w:t>
      </w:r>
      <w:proofErr w:type="spellEnd"/>
      <w:r>
        <w:t xml:space="preserve"> in Islamic thought, aiming to uncover its relevance in a world increasingly fragmented by ideological pluralism and spiritual uncertainty.</w:t>
      </w:r>
    </w:p>
    <w:p w14:paraId="319A580D" w14:textId="77777777" w:rsidR="00DF53BC" w:rsidRDefault="00DF53BC" w:rsidP="00BA32F4"/>
    <w:p w14:paraId="49276316" w14:textId="77777777" w:rsidR="007C389A" w:rsidRDefault="007C389A" w:rsidP="00BA32F4"/>
    <w:p w14:paraId="38C22F93" w14:textId="77777777" w:rsidR="007C389A" w:rsidRDefault="007C389A" w:rsidP="00BA32F4"/>
    <w:p w14:paraId="2151EBB5" w14:textId="77777777" w:rsidR="007C389A" w:rsidRDefault="007C389A" w:rsidP="00BA32F4"/>
    <w:p w14:paraId="00CD57BC" w14:textId="77777777" w:rsidR="007C389A" w:rsidRDefault="007C389A" w:rsidP="00BA32F4"/>
    <w:p w14:paraId="7C63E87B" w14:textId="598E14AF" w:rsidR="008425CB" w:rsidRPr="003D2C48" w:rsidRDefault="008425CB" w:rsidP="00BA32F4"/>
    <w:p w14:paraId="237EED00" w14:textId="77777777" w:rsidR="008425CB" w:rsidRDefault="008425CB" w:rsidP="00BA32F4"/>
    <w:p w14:paraId="38149450" w14:textId="77777777" w:rsidR="008425CB" w:rsidRDefault="008425CB" w:rsidP="00BA32F4"/>
    <w:p w14:paraId="460C9C9E" w14:textId="77777777" w:rsidR="008425CB" w:rsidRDefault="008425CB" w:rsidP="00BA32F4"/>
    <w:p w14:paraId="18FE3FBD" w14:textId="77777777" w:rsidR="008425CB" w:rsidRDefault="008425CB" w:rsidP="00BA32F4"/>
    <w:p w14:paraId="63F74148" w14:textId="77777777" w:rsidR="008425CB" w:rsidRDefault="008425CB" w:rsidP="00BA32F4"/>
    <w:p w14:paraId="011C4EA2" w14:textId="77777777" w:rsidR="008425CB" w:rsidRDefault="008425CB" w:rsidP="00BA32F4"/>
    <w:p w14:paraId="2CA33A57" w14:textId="77777777" w:rsidR="007C389A" w:rsidRDefault="007C389A" w:rsidP="00BA32F4"/>
    <w:p w14:paraId="1A9D1CDA" w14:textId="77777777" w:rsidR="007C389A" w:rsidRDefault="007C389A" w:rsidP="00BA32F4"/>
    <w:p w14:paraId="549E8D3A" w14:textId="4F3D9937" w:rsidR="00612BC4" w:rsidRDefault="00612BC4" w:rsidP="00612BC4"/>
    <w:p w14:paraId="619CC063" w14:textId="77777777" w:rsidR="00612BC4" w:rsidRDefault="00612BC4" w:rsidP="00612BC4"/>
    <w:p w14:paraId="558D7965" w14:textId="77777777" w:rsidR="00612BC4" w:rsidRPr="00612BC4" w:rsidRDefault="00612BC4" w:rsidP="00612BC4">
      <w:pPr>
        <w:rPr>
          <w:b/>
          <w:bCs/>
          <w:i/>
          <w:iCs/>
        </w:rPr>
      </w:pPr>
      <w:r w:rsidRPr="00612BC4">
        <w:rPr>
          <w:b/>
          <w:bCs/>
          <w:i/>
          <w:iCs/>
        </w:rPr>
        <w:t>Background of the Study:</w:t>
      </w:r>
    </w:p>
    <w:p w14:paraId="2F76F2F5" w14:textId="77777777" w:rsidR="00612BC4" w:rsidRDefault="00612BC4" w:rsidP="00612BC4"/>
    <w:p w14:paraId="01535DA0" w14:textId="77777777" w:rsidR="00612BC4" w:rsidRDefault="00612BC4" w:rsidP="00612BC4">
      <w:r>
        <w:t xml:space="preserve">The belief in the oneness of God, or </w:t>
      </w:r>
      <w:proofErr w:type="spellStart"/>
      <w:r>
        <w:t>Tawhid</w:t>
      </w:r>
      <w:proofErr w:type="spellEnd"/>
      <w:r>
        <w:t xml:space="preserve">, is not only a defining principle of Islam but also a transformative idea that has influenced civilizations, philosophies, and cultures. Its impact spans spiritual, intellectual, and social domains, making it a subject of enduring interest among theologians, philosophers, and believers alike. In Islam, </w:t>
      </w:r>
      <w:proofErr w:type="spellStart"/>
      <w:r>
        <w:t>Tawhid</w:t>
      </w:r>
      <w:proofErr w:type="spellEnd"/>
      <w:r>
        <w:t xml:space="preserve"> is the lens through which all of life is viewed, integrating every aspect of existence into a singular, God-</w:t>
      </w:r>
      <w:proofErr w:type="spellStart"/>
      <w:r>
        <w:t>centered</w:t>
      </w:r>
      <w:proofErr w:type="spellEnd"/>
      <w:r>
        <w:t xml:space="preserve"> worldview. The background of this study seeks to explore the origins, development, and significance of </w:t>
      </w:r>
      <w:proofErr w:type="spellStart"/>
      <w:r>
        <w:t>Tawhid</w:t>
      </w:r>
      <w:proofErr w:type="spellEnd"/>
      <w:r>
        <w:t xml:space="preserve"> in Islamic thought and its relevance in both historical and contemporary contexts.</w:t>
      </w:r>
    </w:p>
    <w:p w14:paraId="763B7493" w14:textId="77777777" w:rsidR="00612BC4" w:rsidRDefault="00612BC4" w:rsidP="00612BC4"/>
    <w:p w14:paraId="61F4271C" w14:textId="77777777" w:rsidR="00612BC4" w:rsidRDefault="00612BC4" w:rsidP="00612BC4">
      <w:r>
        <w:t>The pre-Islamic Arabian world was largely characterized by tribalism and polytheism. People worshipped multiple deities, often represented by idols housed in sacred sites like the Kaaba in Mecca. These beliefs shaped the moral and social fabric of society, but also led to practices such as infanticide, social injustice, and lawlessness. The arrival of Islam, through the revelations received by Prophet Muhammad (peace be upon him), challenged this worldview by introducing a radical monotheism that emphasized moral accountability, justice, and human dignity under the sovereignty of one God.</w:t>
      </w:r>
    </w:p>
    <w:p w14:paraId="6E8D3E34" w14:textId="77777777" w:rsidR="00612BC4" w:rsidRDefault="00612BC4" w:rsidP="00612BC4"/>
    <w:p w14:paraId="3B983359" w14:textId="77777777" w:rsidR="00612BC4" w:rsidRDefault="00612BC4" w:rsidP="00612BC4">
      <w:proofErr w:type="spellStart"/>
      <w:r>
        <w:t>Tawhid</w:t>
      </w:r>
      <w:proofErr w:type="spellEnd"/>
      <w:r>
        <w:t xml:space="preserve"> was central to the Prophet's message. The Qur'an repeatedly stresses the uniqueness, indivisibility, and transcendence of Allah. Verses such as "Say: He is Allah, the One and Only" (Qur'an 112:1) served not only to affirm God's oneness but also to reform the spiritual and moral lives of the early Muslim community. As Islam expanded beyond Arabia, it encountered diverse philosophical traditions, prompting deeper exploration of divine attributes, human free will, and the nature of existence itself.</w:t>
      </w:r>
    </w:p>
    <w:p w14:paraId="58F6AABB" w14:textId="77777777" w:rsidR="00612BC4" w:rsidRDefault="00612BC4" w:rsidP="00612BC4"/>
    <w:p w14:paraId="0A00BA21" w14:textId="77777777" w:rsidR="00612BC4" w:rsidRDefault="00612BC4" w:rsidP="00612BC4">
      <w:r>
        <w:t>This intellectual engagement gave rise to classical Islamic theology ('</w:t>
      </w:r>
      <w:proofErr w:type="spellStart"/>
      <w:r>
        <w:t>Ilm</w:t>
      </w:r>
      <w:proofErr w:type="spellEnd"/>
      <w:r>
        <w:t xml:space="preserve"> al-</w:t>
      </w:r>
      <w:proofErr w:type="spellStart"/>
      <w:r>
        <w:t>Kalam</w:t>
      </w:r>
      <w:proofErr w:type="spellEnd"/>
      <w:r>
        <w:t xml:space="preserve">). Schools like the </w:t>
      </w:r>
      <w:proofErr w:type="spellStart"/>
      <w:r>
        <w:t>Mu'tazilites</w:t>
      </w:r>
      <w:proofErr w:type="spellEnd"/>
      <w:r>
        <w:t xml:space="preserve"> and </w:t>
      </w:r>
      <w:proofErr w:type="spellStart"/>
      <w:r>
        <w:t>Ash'arites</w:t>
      </w:r>
      <w:proofErr w:type="spellEnd"/>
      <w:r>
        <w:t xml:space="preserve"> emerged with different approaches to understanding </w:t>
      </w:r>
      <w:proofErr w:type="spellStart"/>
      <w:r>
        <w:t>Tawhid</w:t>
      </w:r>
      <w:proofErr w:type="spellEnd"/>
      <w:r>
        <w:t xml:space="preserve"> and reconciling reason with revelation. The </w:t>
      </w:r>
      <w:proofErr w:type="spellStart"/>
      <w:r>
        <w:t>Mu'tazilites</w:t>
      </w:r>
      <w:proofErr w:type="spellEnd"/>
      <w:r>
        <w:t xml:space="preserve">, for example, emphasized God's justice and unity, arguing against anthropomorphic interpretations of divine attributes. The </w:t>
      </w:r>
      <w:proofErr w:type="spellStart"/>
      <w:r>
        <w:t>Ash'arites</w:t>
      </w:r>
      <w:proofErr w:type="spellEnd"/>
      <w:r>
        <w:t>, on the other hand, sought a middle path, accepting God's attributes while rejecting literalist understandings. These debates enriched Islamic thought and helped establish a coherent theological framework.</w:t>
      </w:r>
    </w:p>
    <w:p w14:paraId="58F13092" w14:textId="77777777" w:rsidR="00612BC4" w:rsidRDefault="00612BC4" w:rsidP="00612BC4"/>
    <w:p w14:paraId="37E12DCD" w14:textId="77777777" w:rsidR="00612BC4" w:rsidRDefault="00612BC4" w:rsidP="00612BC4">
      <w:r>
        <w:t xml:space="preserve">Parallel to these developments, Sufism or Islamic mysticism provided another dimension to the understanding of </w:t>
      </w:r>
      <w:proofErr w:type="spellStart"/>
      <w:r>
        <w:t>Tawhid</w:t>
      </w:r>
      <w:proofErr w:type="spellEnd"/>
      <w:r>
        <w:t>. While theologians sought to define divine unity intellectually, Sufis pursued experiential knowledge of God. Through practices like dhikr (remembrance of God), spiritual exercises, and ascetic discipline, Sufis aimed to transcend the ego and experience God's presence directly. The concept of "</w:t>
      </w:r>
      <w:proofErr w:type="spellStart"/>
      <w:r>
        <w:t>fana</w:t>
      </w:r>
      <w:proofErr w:type="spellEnd"/>
      <w:r>
        <w:t xml:space="preserve">" (annihilation of the self in God) became central in this pursuit, reflecting a profound internalization of </w:t>
      </w:r>
      <w:proofErr w:type="spellStart"/>
      <w:r>
        <w:t>Tawhid</w:t>
      </w:r>
      <w:proofErr w:type="spellEnd"/>
      <w:r>
        <w:t>.</w:t>
      </w:r>
    </w:p>
    <w:p w14:paraId="54A6E65E" w14:textId="77777777" w:rsidR="00612BC4" w:rsidRDefault="00612BC4" w:rsidP="00612BC4"/>
    <w:p w14:paraId="21E07646" w14:textId="77777777" w:rsidR="00612BC4" w:rsidRDefault="00612BC4" w:rsidP="00612BC4">
      <w:r>
        <w:t xml:space="preserve">In the 13th and 14th centuries, thinkers like Ibn </w:t>
      </w:r>
      <w:proofErr w:type="spellStart"/>
      <w:r>
        <w:t>Taymiyyah</w:t>
      </w:r>
      <w:proofErr w:type="spellEnd"/>
      <w:r>
        <w:t xml:space="preserve"> reacted against what they saw as excesses and deviations in the understanding and practice of </w:t>
      </w:r>
      <w:proofErr w:type="spellStart"/>
      <w:r>
        <w:t>Tawhid</w:t>
      </w:r>
      <w:proofErr w:type="spellEnd"/>
      <w:r>
        <w:t xml:space="preserve">. He categorized </w:t>
      </w:r>
      <w:proofErr w:type="spellStart"/>
      <w:r>
        <w:t>Tawhid</w:t>
      </w:r>
      <w:proofErr w:type="spellEnd"/>
      <w:r>
        <w:t xml:space="preserve"> into three branches: </w:t>
      </w:r>
      <w:proofErr w:type="spellStart"/>
      <w:r>
        <w:t>Tawhid</w:t>
      </w:r>
      <w:proofErr w:type="spellEnd"/>
      <w:r>
        <w:t xml:space="preserve"> al-</w:t>
      </w:r>
      <w:proofErr w:type="spellStart"/>
      <w:r>
        <w:t>Rububiyyah</w:t>
      </w:r>
      <w:proofErr w:type="spellEnd"/>
      <w:r>
        <w:t xml:space="preserve"> (Oneness of Lordship), </w:t>
      </w:r>
      <w:proofErr w:type="spellStart"/>
      <w:r>
        <w:t>Tawhid</w:t>
      </w:r>
      <w:proofErr w:type="spellEnd"/>
      <w:r>
        <w:t xml:space="preserve"> al-</w:t>
      </w:r>
      <w:proofErr w:type="spellStart"/>
      <w:r>
        <w:t>Asma</w:t>
      </w:r>
      <w:proofErr w:type="spellEnd"/>
      <w:r>
        <w:t xml:space="preserve"> </w:t>
      </w:r>
      <w:proofErr w:type="spellStart"/>
      <w:r>
        <w:t>wa</w:t>
      </w:r>
      <w:proofErr w:type="spellEnd"/>
      <w:r>
        <w:t xml:space="preserve"> al-</w:t>
      </w:r>
      <w:proofErr w:type="spellStart"/>
      <w:r>
        <w:t>Sifat</w:t>
      </w:r>
      <w:proofErr w:type="spellEnd"/>
      <w:r>
        <w:t xml:space="preserve"> (Oneness of Names and Attributes), and </w:t>
      </w:r>
      <w:proofErr w:type="spellStart"/>
      <w:r>
        <w:t>Tawhid</w:t>
      </w:r>
      <w:proofErr w:type="spellEnd"/>
      <w:r>
        <w:t xml:space="preserve"> al-</w:t>
      </w:r>
      <w:proofErr w:type="spellStart"/>
      <w:r>
        <w:t>Uluhiyyah</w:t>
      </w:r>
      <w:proofErr w:type="spellEnd"/>
      <w:r>
        <w:t xml:space="preserve"> (Oneness of Worship). This tripartite framework clarified the dimensions of God's unity and became influential in later Islamic reform movements.</w:t>
      </w:r>
    </w:p>
    <w:p w14:paraId="3B2611E7" w14:textId="77777777" w:rsidR="00612BC4" w:rsidRDefault="00612BC4" w:rsidP="00612BC4"/>
    <w:p w14:paraId="3E89A6C8" w14:textId="77777777" w:rsidR="00612BC4" w:rsidRDefault="00612BC4" w:rsidP="00612BC4">
      <w:r>
        <w:t xml:space="preserve">The colonial and post-colonial eras further challenged Muslim societies. The encounter with secularism, modernity, and Western political dominance led to a re-evaluation of Islamic principles. </w:t>
      </w:r>
      <w:proofErr w:type="spellStart"/>
      <w:r>
        <w:t>Tawhid</w:t>
      </w:r>
      <w:proofErr w:type="spellEnd"/>
      <w:r>
        <w:t xml:space="preserve">, in this context, was not merely a theological claim but a call to reclaim spiritual, cultural, and political autonomy. Thinkers like Muhammad Iqbal, </w:t>
      </w:r>
      <w:proofErr w:type="spellStart"/>
      <w:r>
        <w:t>Sayyid</w:t>
      </w:r>
      <w:proofErr w:type="spellEnd"/>
      <w:r>
        <w:t xml:space="preserve"> </w:t>
      </w:r>
      <w:proofErr w:type="spellStart"/>
      <w:r>
        <w:t>Qutb</w:t>
      </w:r>
      <w:proofErr w:type="spellEnd"/>
      <w:r>
        <w:t>, and Ismail al-</w:t>
      </w:r>
      <w:proofErr w:type="spellStart"/>
      <w:r>
        <w:t>Faruqi</w:t>
      </w:r>
      <w:proofErr w:type="spellEnd"/>
      <w:r>
        <w:t xml:space="preserve"> emphasized </w:t>
      </w:r>
      <w:proofErr w:type="spellStart"/>
      <w:r>
        <w:t>Tawhid</w:t>
      </w:r>
      <w:proofErr w:type="spellEnd"/>
      <w:r>
        <w:t xml:space="preserve"> as a unifying principle that could guide Islamic revival and counter fragmentation.</w:t>
      </w:r>
    </w:p>
    <w:p w14:paraId="41D014A8" w14:textId="77777777" w:rsidR="00612BC4" w:rsidRDefault="00612BC4" w:rsidP="00612BC4"/>
    <w:p w14:paraId="66B54E3D" w14:textId="77777777" w:rsidR="00612BC4" w:rsidRDefault="00612BC4" w:rsidP="00612BC4">
      <w:r>
        <w:t xml:space="preserve">Today, </w:t>
      </w:r>
      <w:proofErr w:type="spellStart"/>
      <w:r>
        <w:t>Tawhid</w:t>
      </w:r>
      <w:proofErr w:type="spellEnd"/>
      <w:r>
        <w:t xml:space="preserve"> continues to resonate deeply within Muslim communities. It informs ethical </w:t>
      </w:r>
      <w:proofErr w:type="spellStart"/>
      <w:r>
        <w:t>behavior</w:t>
      </w:r>
      <w:proofErr w:type="spellEnd"/>
      <w:r>
        <w:t xml:space="preserve">, nurtures resilience, and offers a spiritual compass in a world marked by rapid change and moral uncertainty. The relevance of </w:t>
      </w:r>
      <w:proofErr w:type="spellStart"/>
      <w:r>
        <w:t>Tawhid</w:t>
      </w:r>
      <w:proofErr w:type="spellEnd"/>
      <w:r>
        <w:t xml:space="preserve"> extends beyond personal piety—it shapes social justice movements, interfaith dialogue, and even Islamic finance and education. Understanding its background is therefore essential not only for theological inquiry but also for engaging meaningfully with contemporary Muslim identity and civilization.</w:t>
      </w:r>
    </w:p>
    <w:p w14:paraId="386D0315" w14:textId="07278A2B" w:rsidR="00612BC4" w:rsidRDefault="00612BC4" w:rsidP="00612BC4"/>
    <w:p w14:paraId="491C0370" w14:textId="77777777" w:rsidR="00612BC4" w:rsidRDefault="00612BC4" w:rsidP="00612BC4"/>
    <w:p w14:paraId="52BCAC1D" w14:textId="77777777" w:rsidR="00612BC4" w:rsidRPr="00612BC4" w:rsidRDefault="00612BC4" w:rsidP="00612BC4">
      <w:pPr>
        <w:rPr>
          <w:b/>
          <w:bCs/>
          <w:i/>
          <w:iCs/>
        </w:rPr>
      </w:pPr>
      <w:r w:rsidRPr="00612BC4">
        <w:rPr>
          <w:b/>
          <w:bCs/>
          <w:i/>
          <w:iCs/>
        </w:rPr>
        <w:t>Literature Review</w:t>
      </w:r>
    </w:p>
    <w:p w14:paraId="2B23B8DE" w14:textId="77777777" w:rsidR="00612BC4" w:rsidRDefault="00612BC4" w:rsidP="00612BC4"/>
    <w:p w14:paraId="1477D872" w14:textId="77777777" w:rsidR="00612BC4" w:rsidRDefault="00612BC4" w:rsidP="00612BC4">
      <w:r>
        <w:t xml:space="preserve">The doctrine of </w:t>
      </w:r>
      <w:proofErr w:type="spellStart"/>
      <w:r>
        <w:t>Tawhid</w:t>
      </w:r>
      <w:proofErr w:type="spellEnd"/>
      <w:r>
        <w:t xml:space="preserve"> has been the subject of extensive exploration in Islamic scholarship, encompassing theological, philosophical, mystical, and socio-political dimensions. The literature surrounding this concept reveals its foundational status in Islam and highlights the intellectual and spiritual richness it has generated over fourteen centuries. This review aims to survey classical and contemporary literature on </w:t>
      </w:r>
      <w:proofErr w:type="spellStart"/>
      <w:r>
        <w:t>Tawhid</w:t>
      </w:r>
      <w:proofErr w:type="spellEnd"/>
      <w:r>
        <w:t>, identifying key themes, scholarly contributions, and ongoing debates.</w:t>
      </w:r>
    </w:p>
    <w:p w14:paraId="54B73EF1" w14:textId="77777777" w:rsidR="00612BC4" w:rsidRDefault="00612BC4" w:rsidP="00612BC4"/>
    <w:p w14:paraId="14F67FDE" w14:textId="77777777" w:rsidR="00612BC4" w:rsidRDefault="00612BC4" w:rsidP="00612BC4">
      <w:r>
        <w:t xml:space="preserve">Classical Sources of </w:t>
      </w:r>
      <w:proofErr w:type="spellStart"/>
      <w:r>
        <w:t>Tawhid</w:t>
      </w:r>
      <w:proofErr w:type="spellEnd"/>
    </w:p>
    <w:p w14:paraId="4F9412BB" w14:textId="77777777" w:rsidR="00612BC4" w:rsidRDefault="00612BC4" w:rsidP="00612BC4"/>
    <w:p w14:paraId="7E9F7AC7" w14:textId="77777777" w:rsidR="00612BC4" w:rsidRDefault="00612BC4" w:rsidP="00612BC4">
      <w:r>
        <w:t xml:space="preserve">The primary source of </w:t>
      </w:r>
      <w:proofErr w:type="spellStart"/>
      <w:r>
        <w:t>Tawhid</w:t>
      </w:r>
      <w:proofErr w:type="spellEnd"/>
      <w:r>
        <w:t xml:space="preserve"> is the Qur’an, which affirms Allah’s unity repeatedly through direct proclamations, metaphors, and narratives. Surah Al-</w:t>
      </w:r>
      <w:proofErr w:type="spellStart"/>
      <w:r>
        <w:t>Ikhlas</w:t>
      </w:r>
      <w:proofErr w:type="spellEnd"/>
      <w:r>
        <w:t xml:space="preserve"> (112), often referred to as the essence of the Qur’an, encapsulates the doctrine in just four concise verses. Qur’anic commentaries (</w:t>
      </w:r>
      <w:proofErr w:type="spellStart"/>
      <w:r>
        <w:t>tafsir</w:t>
      </w:r>
      <w:proofErr w:type="spellEnd"/>
      <w:r>
        <w:t>) by scholars such as Al-</w:t>
      </w:r>
      <w:proofErr w:type="spellStart"/>
      <w:r>
        <w:t>Tabari</w:t>
      </w:r>
      <w:proofErr w:type="spellEnd"/>
      <w:r>
        <w:t xml:space="preserve">, Ibn </w:t>
      </w:r>
      <w:proofErr w:type="spellStart"/>
      <w:r>
        <w:t>Kathir</w:t>
      </w:r>
      <w:proofErr w:type="spellEnd"/>
      <w:r>
        <w:t>, and Al-</w:t>
      </w:r>
      <w:proofErr w:type="spellStart"/>
      <w:r>
        <w:t>Qurtubi</w:t>
      </w:r>
      <w:proofErr w:type="spellEnd"/>
      <w:r>
        <w:t xml:space="preserve"> have interpreted these verses with remarkable depth, exploring theological, linguistic, and philosophical implications.</w:t>
      </w:r>
    </w:p>
    <w:p w14:paraId="4736253F" w14:textId="77777777" w:rsidR="00612BC4" w:rsidRDefault="00612BC4" w:rsidP="00612BC4"/>
    <w:p w14:paraId="033FAC98" w14:textId="77777777" w:rsidR="00612BC4" w:rsidRDefault="00612BC4" w:rsidP="00612BC4">
      <w:r>
        <w:t xml:space="preserve">Hadith literature also reinforces the concept of </w:t>
      </w:r>
      <w:proofErr w:type="spellStart"/>
      <w:r>
        <w:t>Tawhid</w:t>
      </w:r>
      <w:proofErr w:type="spellEnd"/>
      <w:r>
        <w:t xml:space="preserve">. Collections by Imam Bukhari, Muslim, and </w:t>
      </w:r>
      <w:proofErr w:type="spellStart"/>
      <w:r>
        <w:t>Tirmidhi</w:t>
      </w:r>
      <w:proofErr w:type="spellEnd"/>
      <w:r>
        <w:t xml:space="preserve"> contain numerous sayings of the Prophet Muhammad (peace be upon him) that emphasize the exclusivity of worship for Allah, the grave sin of shirk (associating partners with Allah), and the centrality of sincere belief.</w:t>
      </w:r>
    </w:p>
    <w:p w14:paraId="3CCCFA5E" w14:textId="77777777" w:rsidR="00612BC4" w:rsidRDefault="00612BC4" w:rsidP="00612BC4"/>
    <w:p w14:paraId="1EADB601" w14:textId="77777777" w:rsidR="00612BC4" w:rsidRDefault="00612BC4" w:rsidP="00612BC4">
      <w:r>
        <w:t>Theological Traditions and Doctrinal Development</w:t>
      </w:r>
    </w:p>
    <w:p w14:paraId="092C0448" w14:textId="77777777" w:rsidR="00612BC4" w:rsidRDefault="00612BC4" w:rsidP="00612BC4"/>
    <w:p w14:paraId="78ACEF4E" w14:textId="77777777" w:rsidR="00612BC4" w:rsidRDefault="00612BC4" w:rsidP="00612BC4">
      <w:r>
        <w:t>In classical Islamic theology ('</w:t>
      </w:r>
      <w:proofErr w:type="spellStart"/>
      <w:r>
        <w:t>Ilm</w:t>
      </w:r>
      <w:proofErr w:type="spellEnd"/>
      <w:r>
        <w:t xml:space="preserve"> al-</w:t>
      </w:r>
      <w:proofErr w:type="spellStart"/>
      <w:r>
        <w:t>Kalam</w:t>
      </w:r>
      <w:proofErr w:type="spellEnd"/>
      <w:r>
        <w:t xml:space="preserve">), </w:t>
      </w:r>
      <w:proofErr w:type="spellStart"/>
      <w:r>
        <w:t>Tawhid</w:t>
      </w:r>
      <w:proofErr w:type="spellEnd"/>
      <w:r>
        <w:t xml:space="preserve"> became a major point of inquiry and debate. The </w:t>
      </w:r>
      <w:proofErr w:type="spellStart"/>
      <w:r>
        <w:t>Mu’tazilite</w:t>
      </w:r>
      <w:proofErr w:type="spellEnd"/>
      <w:r>
        <w:t xml:space="preserve"> school, known for its rationalist approach, emphasized divine unity and justice, arguing that God must be completely unlike His creation and that anthropomorphic descriptions must be interpreted metaphorically. Their writings—especially those of </w:t>
      </w:r>
      <w:proofErr w:type="spellStart"/>
      <w:r>
        <w:t>Wasil</w:t>
      </w:r>
      <w:proofErr w:type="spellEnd"/>
      <w:r>
        <w:t xml:space="preserve"> ibn Ata and Abu al-</w:t>
      </w:r>
      <w:proofErr w:type="spellStart"/>
      <w:r>
        <w:t>Hudhayl</w:t>
      </w:r>
      <w:proofErr w:type="spellEnd"/>
      <w:r>
        <w:t xml:space="preserve"> al-‘</w:t>
      </w:r>
      <w:proofErr w:type="spellStart"/>
      <w:r>
        <w:t>Allaf</w:t>
      </w:r>
      <w:proofErr w:type="spellEnd"/>
      <w:r>
        <w:t xml:space="preserve">—argue that </w:t>
      </w:r>
      <w:proofErr w:type="spellStart"/>
      <w:r>
        <w:t>Tawhid</w:t>
      </w:r>
      <w:proofErr w:type="spellEnd"/>
      <w:r>
        <w:t xml:space="preserve"> necessitates the denial of eternal divine attributes, as this would imply multiplicity in God’s essence.</w:t>
      </w:r>
    </w:p>
    <w:p w14:paraId="1D658989" w14:textId="77777777" w:rsidR="00612BC4" w:rsidRDefault="00612BC4" w:rsidP="00612BC4"/>
    <w:p w14:paraId="5B5A0C88" w14:textId="77777777" w:rsidR="00612BC4" w:rsidRDefault="00612BC4" w:rsidP="00612BC4">
      <w:r>
        <w:t xml:space="preserve">Conversely, the </w:t>
      </w:r>
      <w:proofErr w:type="spellStart"/>
      <w:r>
        <w:t>Ash’arite</w:t>
      </w:r>
      <w:proofErr w:type="spellEnd"/>
      <w:r>
        <w:t xml:space="preserve"> school, led by Imam Al-</w:t>
      </w:r>
      <w:proofErr w:type="spellStart"/>
      <w:r>
        <w:t>Ash‘ari</w:t>
      </w:r>
      <w:proofErr w:type="spellEnd"/>
      <w:r>
        <w:t xml:space="preserve">, defended the existence of divine attributes while maintaining Allah’s absolute uniqueness. </w:t>
      </w:r>
      <w:proofErr w:type="spellStart"/>
      <w:r>
        <w:t>Ash’arites</w:t>
      </w:r>
      <w:proofErr w:type="spellEnd"/>
      <w:r>
        <w:t xml:space="preserve"> allowed for some ambiguity in how God’s attributes are understood, emphasizing submission to revelation over rational scrutiny. Scholars like Imam Al-</w:t>
      </w:r>
      <w:proofErr w:type="spellStart"/>
      <w:r>
        <w:t>Baqillani</w:t>
      </w:r>
      <w:proofErr w:type="spellEnd"/>
      <w:r>
        <w:t xml:space="preserve"> and Imam Al-</w:t>
      </w:r>
      <w:proofErr w:type="spellStart"/>
      <w:r>
        <w:t>Ghazali</w:t>
      </w:r>
      <w:proofErr w:type="spellEnd"/>
      <w:r>
        <w:t xml:space="preserve"> contributed significantly to this discourse, developing a middle path that integrated revelation with reason.</w:t>
      </w:r>
    </w:p>
    <w:p w14:paraId="289FAD5A" w14:textId="77777777" w:rsidR="00612BC4" w:rsidRDefault="00612BC4" w:rsidP="00612BC4"/>
    <w:p w14:paraId="10CA1769" w14:textId="77777777" w:rsidR="00612BC4" w:rsidRDefault="00612BC4" w:rsidP="00612BC4">
      <w:r>
        <w:t>Imam Al-</w:t>
      </w:r>
      <w:proofErr w:type="spellStart"/>
      <w:r>
        <w:t>Ghazali</w:t>
      </w:r>
      <w:proofErr w:type="spellEnd"/>
      <w:r>
        <w:t xml:space="preserve">, particularly in works like </w:t>
      </w:r>
      <w:proofErr w:type="spellStart"/>
      <w:r>
        <w:t>Ihya</w:t>
      </w:r>
      <w:proofErr w:type="spellEnd"/>
      <w:r>
        <w:t>’ ‘</w:t>
      </w:r>
      <w:proofErr w:type="spellStart"/>
      <w:r>
        <w:t>Ulum</w:t>
      </w:r>
      <w:proofErr w:type="spellEnd"/>
      <w:r>
        <w:t xml:space="preserve"> al-Din (Revival of the Religious Sciences), blends theological and spiritual insights, portraying </w:t>
      </w:r>
      <w:proofErr w:type="spellStart"/>
      <w:r>
        <w:t>Tawhid</w:t>
      </w:r>
      <w:proofErr w:type="spellEnd"/>
      <w:r>
        <w:t xml:space="preserve"> not just as an intellectual affirmation but a transformative realization of God’s presence in all aspects of life.</w:t>
      </w:r>
    </w:p>
    <w:p w14:paraId="33F0D616" w14:textId="77777777" w:rsidR="00612BC4" w:rsidRDefault="00612BC4" w:rsidP="00612BC4"/>
    <w:p w14:paraId="3951D3A6" w14:textId="77777777" w:rsidR="00612BC4" w:rsidRDefault="00612BC4" w:rsidP="00612BC4">
      <w:r>
        <w:t>Mystical and Sufi Perspectives</w:t>
      </w:r>
    </w:p>
    <w:p w14:paraId="13314FFD" w14:textId="77777777" w:rsidR="00612BC4" w:rsidRDefault="00612BC4" w:rsidP="00612BC4"/>
    <w:p w14:paraId="65D657BA" w14:textId="77777777" w:rsidR="00612BC4" w:rsidRDefault="00612BC4" w:rsidP="00612BC4">
      <w:r>
        <w:t xml:space="preserve">The Sufi tradition approaches </w:t>
      </w:r>
      <w:proofErr w:type="spellStart"/>
      <w:r>
        <w:t>Tawhid</w:t>
      </w:r>
      <w:proofErr w:type="spellEnd"/>
      <w:r>
        <w:t xml:space="preserve"> through experiential knowledge. In their literature, </w:t>
      </w:r>
      <w:proofErr w:type="spellStart"/>
      <w:r>
        <w:t>Tawhid</w:t>
      </w:r>
      <w:proofErr w:type="spellEnd"/>
      <w:r>
        <w:t xml:space="preserve"> is not merely believed but tasted (</w:t>
      </w:r>
      <w:proofErr w:type="spellStart"/>
      <w:r>
        <w:t>dhawq</w:t>
      </w:r>
      <w:proofErr w:type="spellEnd"/>
      <w:r>
        <w:t>) and lived. Al-</w:t>
      </w:r>
      <w:proofErr w:type="spellStart"/>
      <w:r>
        <w:t>Junayd</w:t>
      </w:r>
      <w:proofErr w:type="spellEnd"/>
      <w:r>
        <w:t xml:space="preserve"> al-Baghdadi defined Sufism as “the realization of </w:t>
      </w:r>
      <w:proofErr w:type="spellStart"/>
      <w:r>
        <w:t>Tawhid</w:t>
      </w:r>
      <w:proofErr w:type="spellEnd"/>
      <w:r>
        <w:t xml:space="preserve">,” and </w:t>
      </w:r>
      <w:proofErr w:type="spellStart"/>
      <w:r>
        <w:t>Bayazid</w:t>
      </w:r>
      <w:proofErr w:type="spellEnd"/>
      <w:r>
        <w:t xml:space="preserve"> </w:t>
      </w:r>
      <w:proofErr w:type="spellStart"/>
      <w:r>
        <w:t>Bastami</w:t>
      </w:r>
      <w:proofErr w:type="spellEnd"/>
      <w:r>
        <w:t xml:space="preserve"> spoke of annihilation in the Divine (</w:t>
      </w:r>
      <w:proofErr w:type="spellStart"/>
      <w:r>
        <w:t>fana</w:t>
      </w:r>
      <w:proofErr w:type="spellEnd"/>
      <w:r>
        <w:t>’ fi Allah) as the ultimate realization of God’s oneness.</w:t>
      </w:r>
    </w:p>
    <w:p w14:paraId="6AF06AF6" w14:textId="77777777" w:rsidR="00612BC4" w:rsidRDefault="00612BC4" w:rsidP="00612BC4"/>
    <w:p w14:paraId="24444AE4" w14:textId="77777777" w:rsidR="00612BC4" w:rsidRDefault="00612BC4" w:rsidP="00612BC4">
      <w:r>
        <w:t xml:space="preserve">Perhaps the most influential Sufi writer on this topic was Ibn </w:t>
      </w:r>
      <w:proofErr w:type="spellStart"/>
      <w:r>
        <w:t>Arabi</w:t>
      </w:r>
      <w:proofErr w:type="spellEnd"/>
      <w:r>
        <w:t xml:space="preserve">, whose doctrine of </w:t>
      </w:r>
      <w:proofErr w:type="spellStart"/>
      <w:r>
        <w:t>wahdat</w:t>
      </w:r>
      <w:proofErr w:type="spellEnd"/>
      <w:r>
        <w:t xml:space="preserve"> al-</w:t>
      </w:r>
      <w:proofErr w:type="spellStart"/>
      <w:r>
        <w:t>wujud</w:t>
      </w:r>
      <w:proofErr w:type="spellEnd"/>
      <w:r>
        <w:t xml:space="preserve"> (unity of existence) sparked considerable theological controversy and reflection. In his magnum opus </w:t>
      </w:r>
      <w:proofErr w:type="spellStart"/>
      <w:r>
        <w:t>Fusus</w:t>
      </w:r>
      <w:proofErr w:type="spellEnd"/>
      <w:r>
        <w:t xml:space="preserve"> al-</w:t>
      </w:r>
      <w:proofErr w:type="spellStart"/>
      <w:r>
        <w:t>Hikam</w:t>
      </w:r>
      <w:proofErr w:type="spellEnd"/>
      <w:r>
        <w:t xml:space="preserve">, he proposed that everything in existence reflects divine reality, and true </w:t>
      </w:r>
      <w:proofErr w:type="spellStart"/>
      <w:r>
        <w:t>Tawhid</w:t>
      </w:r>
      <w:proofErr w:type="spellEnd"/>
      <w:r>
        <w:t xml:space="preserve"> involves seeing all multiplicity as manifestations of the One. This metaphysical perspective was both celebrated and critiqued, notably by scholars such as Ibn </w:t>
      </w:r>
      <w:proofErr w:type="spellStart"/>
      <w:r>
        <w:t>Taymiyyah</w:t>
      </w:r>
      <w:proofErr w:type="spellEnd"/>
      <w:r>
        <w:t>, who accused such views of bordering on pantheism.</w:t>
      </w:r>
    </w:p>
    <w:p w14:paraId="6AF9D97A" w14:textId="77777777" w:rsidR="00612BC4" w:rsidRDefault="00612BC4" w:rsidP="00612BC4"/>
    <w:p w14:paraId="0E19168F" w14:textId="77777777" w:rsidR="00612BC4" w:rsidRDefault="00612BC4" w:rsidP="00612BC4">
      <w:r>
        <w:t>Legal and Reformist Literature</w:t>
      </w:r>
    </w:p>
    <w:p w14:paraId="73831B60" w14:textId="77777777" w:rsidR="00612BC4" w:rsidRDefault="00612BC4" w:rsidP="00612BC4"/>
    <w:p w14:paraId="07BE3142" w14:textId="77777777" w:rsidR="00612BC4" w:rsidRDefault="00612BC4" w:rsidP="00612BC4">
      <w:r>
        <w:t xml:space="preserve">The concept of </w:t>
      </w:r>
      <w:proofErr w:type="spellStart"/>
      <w:r>
        <w:t>Tawhid</w:t>
      </w:r>
      <w:proofErr w:type="spellEnd"/>
      <w:r>
        <w:t xml:space="preserve"> has also been a key theme in Islamic legal and reform movements. Ibn </w:t>
      </w:r>
      <w:proofErr w:type="spellStart"/>
      <w:r>
        <w:t>Taymiyyah</w:t>
      </w:r>
      <w:proofErr w:type="spellEnd"/>
      <w:r>
        <w:t xml:space="preserve">, and later his student Ibn </w:t>
      </w:r>
      <w:proofErr w:type="spellStart"/>
      <w:r>
        <w:t>Qayyim</w:t>
      </w:r>
      <w:proofErr w:type="spellEnd"/>
      <w:r>
        <w:t xml:space="preserve"> al-</w:t>
      </w:r>
      <w:proofErr w:type="spellStart"/>
      <w:r>
        <w:t>Jawziyyah</w:t>
      </w:r>
      <w:proofErr w:type="spellEnd"/>
      <w:r>
        <w:t xml:space="preserve">, sought to purify Islamic belief and practice by emphasizing </w:t>
      </w:r>
      <w:proofErr w:type="spellStart"/>
      <w:r>
        <w:t>Tawhid</w:t>
      </w:r>
      <w:proofErr w:type="spellEnd"/>
      <w:r>
        <w:t xml:space="preserve"> al-</w:t>
      </w:r>
      <w:proofErr w:type="spellStart"/>
      <w:r>
        <w:t>Uluhiyyah</w:t>
      </w:r>
      <w:proofErr w:type="spellEnd"/>
      <w:r>
        <w:t xml:space="preserve"> (Oneness of Worship). They warned against innovations (</w:t>
      </w:r>
      <w:proofErr w:type="spellStart"/>
      <w:r>
        <w:t>bid’ah</w:t>
      </w:r>
      <w:proofErr w:type="spellEnd"/>
      <w:r>
        <w:t xml:space="preserve">) and practices they believed compromised </w:t>
      </w:r>
      <w:proofErr w:type="spellStart"/>
      <w:r>
        <w:t>Tawhid</w:t>
      </w:r>
      <w:proofErr w:type="spellEnd"/>
      <w:r>
        <w:t>, such as excessive veneration of saints or shrine visitation.</w:t>
      </w:r>
    </w:p>
    <w:p w14:paraId="26745C5D" w14:textId="77777777" w:rsidR="00612BC4" w:rsidRDefault="00612BC4" w:rsidP="00612BC4"/>
    <w:p w14:paraId="590815C7" w14:textId="77777777" w:rsidR="00612BC4" w:rsidRDefault="00612BC4" w:rsidP="00612BC4">
      <w:r>
        <w:t xml:space="preserve">The 18th-century reformer Muhammad ibn </w:t>
      </w:r>
      <w:proofErr w:type="spellStart"/>
      <w:r>
        <w:t>Abd</w:t>
      </w:r>
      <w:proofErr w:type="spellEnd"/>
      <w:r>
        <w:t xml:space="preserve"> al-</w:t>
      </w:r>
      <w:proofErr w:type="spellStart"/>
      <w:r>
        <w:t>Wahhab</w:t>
      </w:r>
      <w:proofErr w:type="spellEnd"/>
      <w:r>
        <w:t xml:space="preserve"> expanded on these ideas and made </w:t>
      </w:r>
      <w:proofErr w:type="spellStart"/>
      <w:r>
        <w:t>Tawhid</w:t>
      </w:r>
      <w:proofErr w:type="spellEnd"/>
      <w:r>
        <w:t xml:space="preserve"> the </w:t>
      </w:r>
      <w:proofErr w:type="spellStart"/>
      <w:r>
        <w:t>centerpiece</w:t>
      </w:r>
      <w:proofErr w:type="spellEnd"/>
      <w:r>
        <w:t xml:space="preserve"> of his reformist call. His book </w:t>
      </w:r>
      <w:proofErr w:type="spellStart"/>
      <w:r>
        <w:t>Kitab</w:t>
      </w:r>
      <w:proofErr w:type="spellEnd"/>
      <w:r>
        <w:t xml:space="preserve"> al-</w:t>
      </w:r>
      <w:proofErr w:type="spellStart"/>
      <w:r>
        <w:t>Tawhid</w:t>
      </w:r>
      <w:proofErr w:type="spellEnd"/>
      <w:r>
        <w:t xml:space="preserve"> remains widely studied and emphasizes the necessity of exclusive devotion to Allah, categorizing various types of shirk and reinforcing the tripartite classification of </w:t>
      </w:r>
      <w:proofErr w:type="spellStart"/>
      <w:r>
        <w:t>Tawhid</w:t>
      </w:r>
      <w:proofErr w:type="spellEnd"/>
      <w:r>
        <w:t xml:space="preserve">: </w:t>
      </w:r>
      <w:proofErr w:type="spellStart"/>
      <w:r>
        <w:t>Rububiyyah</w:t>
      </w:r>
      <w:proofErr w:type="spellEnd"/>
      <w:r>
        <w:t xml:space="preserve">, </w:t>
      </w:r>
      <w:proofErr w:type="spellStart"/>
      <w:r>
        <w:t>Uluhiyyah</w:t>
      </w:r>
      <w:proofErr w:type="spellEnd"/>
      <w:r>
        <w:t xml:space="preserve">, and </w:t>
      </w:r>
      <w:proofErr w:type="spellStart"/>
      <w:r>
        <w:t>Asma</w:t>
      </w:r>
      <w:proofErr w:type="spellEnd"/>
      <w:r>
        <w:t xml:space="preserve"> </w:t>
      </w:r>
      <w:proofErr w:type="spellStart"/>
      <w:r>
        <w:t>wa</w:t>
      </w:r>
      <w:proofErr w:type="spellEnd"/>
      <w:r>
        <w:t xml:space="preserve"> </w:t>
      </w:r>
      <w:proofErr w:type="spellStart"/>
      <w:r>
        <w:t>Sifat</w:t>
      </w:r>
      <w:proofErr w:type="spellEnd"/>
      <w:r>
        <w:t>.</w:t>
      </w:r>
    </w:p>
    <w:p w14:paraId="263863C3" w14:textId="77777777" w:rsidR="00612BC4" w:rsidRDefault="00612BC4" w:rsidP="00612BC4"/>
    <w:p w14:paraId="5C57FBF7" w14:textId="77777777" w:rsidR="00612BC4" w:rsidRDefault="00612BC4" w:rsidP="00612BC4">
      <w:r>
        <w:t>Modern and Contemporary Discourse</w:t>
      </w:r>
    </w:p>
    <w:p w14:paraId="366A218D" w14:textId="77777777" w:rsidR="00612BC4" w:rsidRDefault="00612BC4" w:rsidP="00612BC4"/>
    <w:p w14:paraId="2095EA80" w14:textId="77777777" w:rsidR="00612BC4" w:rsidRDefault="00612BC4" w:rsidP="00612BC4">
      <w:r>
        <w:t xml:space="preserve">In the modern era, thinkers have explored </w:t>
      </w:r>
      <w:proofErr w:type="spellStart"/>
      <w:r>
        <w:t>Tawhid</w:t>
      </w:r>
      <w:proofErr w:type="spellEnd"/>
      <w:r>
        <w:t xml:space="preserve"> in relation to contemporary issues such as secularism, pluralism, and political reform. Muhammad Iqbal, the philosopher-poet of the Indian subcontinent, reimagined </w:t>
      </w:r>
      <w:proofErr w:type="spellStart"/>
      <w:r>
        <w:t>Tawhid</w:t>
      </w:r>
      <w:proofErr w:type="spellEnd"/>
      <w:r>
        <w:t xml:space="preserve"> as the foundation for self-realization and communal empowerment. In his Reconstruction of Religious Thought in Islam, Iqbal argued that belief in divine unity leads to human freedom and creativity.</w:t>
      </w:r>
    </w:p>
    <w:p w14:paraId="325206E5" w14:textId="77777777" w:rsidR="00612BC4" w:rsidRDefault="00612BC4" w:rsidP="00612BC4"/>
    <w:p w14:paraId="0FDF433B" w14:textId="77777777" w:rsidR="00612BC4" w:rsidRDefault="00612BC4" w:rsidP="00612BC4">
      <w:proofErr w:type="spellStart"/>
      <w:r>
        <w:t>Sayyid</w:t>
      </w:r>
      <w:proofErr w:type="spellEnd"/>
      <w:r>
        <w:t xml:space="preserve"> </w:t>
      </w:r>
      <w:proofErr w:type="spellStart"/>
      <w:r>
        <w:t>Qutb</w:t>
      </w:r>
      <w:proofErr w:type="spellEnd"/>
      <w:r>
        <w:t xml:space="preserve">, in his influential exegesis Fi </w:t>
      </w:r>
      <w:proofErr w:type="spellStart"/>
      <w:r>
        <w:t>Zilal</w:t>
      </w:r>
      <w:proofErr w:type="spellEnd"/>
      <w:r>
        <w:t xml:space="preserve"> al-Qur’an, presented </w:t>
      </w:r>
      <w:proofErr w:type="spellStart"/>
      <w:r>
        <w:t>Tawhid</w:t>
      </w:r>
      <w:proofErr w:type="spellEnd"/>
      <w:r>
        <w:t xml:space="preserve"> as a revolutionary and political principle. For </w:t>
      </w:r>
      <w:proofErr w:type="spellStart"/>
      <w:r>
        <w:t>Qutb</w:t>
      </w:r>
      <w:proofErr w:type="spellEnd"/>
      <w:r>
        <w:t xml:space="preserve">, affirming Allah’s sovereignty implied rejecting all human-made systems that conflicted with divine law. His idea of </w:t>
      </w:r>
      <w:proofErr w:type="spellStart"/>
      <w:r>
        <w:t>hakimiyyah</w:t>
      </w:r>
      <w:proofErr w:type="spellEnd"/>
      <w:r>
        <w:t xml:space="preserve"> (God’s sovereignty) had a lasting impact on Islamic political thought.</w:t>
      </w:r>
    </w:p>
    <w:p w14:paraId="0322DF37" w14:textId="77777777" w:rsidR="00612BC4" w:rsidRDefault="00612BC4" w:rsidP="00612BC4"/>
    <w:p w14:paraId="6BD9FDF8" w14:textId="77777777" w:rsidR="00612BC4" w:rsidRDefault="00612BC4" w:rsidP="00612BC4">
      <w:proofErr w:type="spellStart"/>
      <w:r>
        <w:t>Fazlur</w:t>
      </w:r>
      <w:proofErr w:type="spellEnd"/>
      <w:r>
        <w:t xml:space="preserve"> Rahman, a modernist thinker, emphasized </w:t>
      </w:r>
      <w:proofErr w:type="spellStart"/>
      <w:r>
        <w:t>Tawhid</w:t>
      </w:r>
      <w:proofErr w:type="spellEnd"/>
      <w:r>
        <w:t xml:space="preserve"> as a dynamic force guiding ethical and social development. He viewed it not only as a theological truth but also as a principle of coherence and moral unity across human </w:t>
      </w:r>
      <w:proofErr w:type="spellStart"/>
      <w:r>
        <w:t>endeavors</w:t>
      </w:r>
      <w:proofErr w:type="spellEnd"/>
      <w:r>
        <w:t>, from education to governance.</w:t>
      </w:r>
    </w:p>
    <w:p w14:paraId="24F10DC1" w14:textId="77777777" w:rsidR="00612BC4" w:rsidRDefault="00612BC4" w:rsidP="00612BC4"/>
    <w:p w14:paraId="4EA97CDB" w14:textId="77777777" w:rsidR="00612BC4" w:rsidRDefault="00612BC4" w:rsidP="00612BC4">
      <w:r>
        <w:t>Academic and Interfaith Scholarship</w:t>
      </w:r>
    </w:p>
    <w:p w14:paraId="5727ABEF" w14:textId="77777777" w:rsidR="00612BC4" w:rsidRDefault="00612BC4" w:rsidP="00612BC4"/>
    <w:p w14:paraId="27FBC984" w14:textId="77777777" w:rsidR="00612BC4" w:rsidRDefault="00612BC4" w:rsidP="00612BC4">
      <w:r>
        <w:t xml:space="preserve">In Western academic circles, </w:t>
      </w:r>
      <w:proofErr w:type="spellStart"/>
      <w:r>
        <w:t>Tawhid</w:t>
      </w:r>
      <w:proofErr w:type="spellEnd"/>
      <w:r>
        <w:t xml:space="preserve"> has been studied from historical, sociological, and comparative theological perspectives. Scholars such as Wilfred Cantwell Smith, John Esposito, and </w:t>
      </w:r>
      <w:proofErr w:type="spellStart"/>
      <w:r>
        <w:t>Seyyed</w:t>
      </w:r>
      <w:proofErr w:type="spellEnd"/>
      <w:r>
        <w:t xml:space="preserve"> Hossein Nasr have contributed to broader understandings of Islamic monotheism. Nasr, for example, emphasizes </w:t>
      </w:r>
      <w:proofErr w:type="spellStart"/>
      <w:r>
        <w:t>Tawhid's</w:t>
      </w:r>
      <w:proofErr w:type="spellEnd"/>
      <w:r>
        <w:t xml:space="preserve"> metaphysical and cosmological dimensions in the Islamic intellectual tradition, framing it as the axis of harmony between God, nature, and man.</w:t>
      </w:r>
    </w:p>
    <w:p w14:paraId="016E90B1" w14:textId="77777777" w:rsidR="00612BC4" w:rsidRDefault="00612BC4" w:rsidP="00612BC4"/>
    <w:p w14:paraId="09B19193" w14:textId="77777777" w:rsidR="00612BC4" w:rsidRDefault="00612BC4" w:rsidP="00612BC4">
      <w:r>
        <w:t xml:space="preserve">Interfaith scholars have also explored commonalities and distinctions between Islamic </w:t>
      </w:r>
      <w:proofErr w:type="spellStart"/>
      <w:r>
        <w:t>Tawhid</w:t>
      </w:r>
      <w:proofErr w:type="spellEnd"/>
      <w:r>
        <w:t xml:space="preserve"> and monotheistic doctrines in Judaism and Christianity. These dialogues have helped clarify how the Islamic view of divine unity shapes ethical </w:t>
      </w:r>
      <w:proofErr w:type="spellStart"/>
      <w:r>
        <w:t>behavior</w:t>
      </w:r>
      <w:proofErr w:type="spellEnd"/>
      <w:r>
        <w:t xml:space="preserve"> and religious practice in ways both similar to and distinct from other Abrahamic faiths.</w:t>
      </w:r>
    </w:p>
    <w:p w14:paraId="7C2A5B83" w14:textId="77777777" w:rsidR="00612BC4" w:rsidRDefault="00612BC4" w:rsidP="00612BC4"/>
    <w:p w14:paraId="0005B541" w14:textId="77777777" w:rsidR="00612BC4" w:rsidRDefault="00612BC4" w:rsidP="00612BC4"/>
    <w:p w14:paraId="1BBD1DC0" w14:textId="16A9108E" w:rsidR="003D2C48" w:rsidRDefault="003D2C48" w:rsidP="00BA32F4"/>
    <w:p w14:paraId="1013F582" w14:textId="77777777" w:rsidR="007C3EE7" w:rsidRDefault="007C3EE7" w:rsidP="00BA32F4"/>
    <w:p w14:paraId="66A8767D" w14:textId="77777777" w:rsidR="007C3EE7" w:rsidRDefault="007C3EE7" w:rsidP="00BA32F4"/>
    <w:p w14:paraId="29BCA82A" w14:textId="77777777" w:rsidR="007C3EE7" w:rsidRDefault="007C3EE7" w:rsidP="00BA32F4"/>
    <w:p w14:paraId="2B0A4805" w14:textId="77777777" w:rsidR="007C3EE7" w:rsidRDefault="007C3EE7" w:rsidP="00BA32F4"/>
    <w:p w14:paraId="08FF55A5" w14:textId="77777777" w:rsidR="007C3EE7" w:rsidRDefault="007C3EE7" w:rsidP="00BA32F4"/>
    <w:p w14:paraId="03C4E90C" w14:textId="77777777" w:rsidR="007C3EE7" w:rsidRDefault="007C3EE7" w:rsidP="00BA32F4"/>
    <w:p w14:paraId="41868773" w14:textId="77777777" w:rsidR="007C3EE7" w:rsidRDefault="007C3EE7" w:rsidP="00BA32F4"/>
    <w:p w14:paraId="6B414AA2" w14:textId="77777777" w:rsidR="007C3EE7" w:rsidRDefault="007C3EE7" w:rsidP="00BA32F4"/>
    <w:p w14:paraId="201FCECD" w14:textId="77777777" w:rsidR="007C3EE7" w:rsidRDefault="007C3EE7" w:rsidP="00BA32F4"/>
    <w:p w14:paraId="53B0E463" w14:textId="77777777" w:rsidR="007C3EE7" w:rsidRDefault="007C3EE7" w:rsidP="00BA32F4"/>
    <w:p w14:paraId="4F9E8B83" w14:textId="77777777" w:rsidR="00E47FDB" w:rsidRDefault="00E47FDB" w:rsidP="00E47FDB">
      <w:r>
        <w:t>Research Methodology</w:t>
      </w:r>
    </w:p>
    <w:p w14:paraId="105B0C31" w14:textId="77777777" w:rsidR="00E47FDB" w:rsidRDefault="00E47FDB" w:rsidP="00E47FDB"/>
    <w:p w14:paraId="0FEF60FC" w14:textId="77777777" w:rsidR="00E47FDB" w:rsidRDefault="00E47FDB" w:rsidP="00E47FDB">
      <w:r>
        <w:t xml:space="preserve">This study on “The Concept of </w:t>
      </w:r>
      <w:proofErr w:type="spellStart"/>
      <w:r>
        <w:t>Tawhid</w:t>
      </w:r>
      <w:proofErr w:type="spellEnd"/>
      <w:r>
        <w:t xml:space="preserve"> (Monotheism) in Islamic Theology: Foundations and Implications” adopts a qualitative and analytical research methodology, rooted in textual analysis and interpretative inquiry. Given the theological and philosophical nature of the subject, the approach is designed to critically explore classical and contemporary Islamic sources, examine interpretations across various schools of thought, and trace the evolution of </w:t>
      </w:r>
      <w:proofErr w:type="spellStart"/>
      <w:r>
        <w:t>Tawhid</w:t>
      </w:r>
      <w:proofErr w:type="spellEnd"/>
      <w:r>
        <w:t xml:space="preserve"> in intellectual, spiritual, and socio-political contexts.</w:t>
      </w:r>
    </w:p>
    <w:p w14:paraId="6D686B53" w14:textId="77777777" w:rsidR="00E47FDB" w:rsidRDefault="00E47FDB" w:rsidP="00E47FDB"/>
    <w:p w14:paraId="59EA4FCE" w14:textId="77777777" w:rsidR="00E47FDB" w:rsidRDefault="00E47FDB" w:rsidP="00E47FDB">
      <w:r>
        <w:t>1. Research Design</w:t>
      </w:r>
    </w:p>
    <w:p w14:paraId="0D046708" w14:textId="77777777" w:rsidR="00E47FDB" w:rsidRDefault="00E47FDB" w:rsidP="00E47FDB"/>
    <w:p w14:paraId="7CF16589" w14:textId="77777777" w:rsidR="00E47FDB" w:rsidRDefault="00E47FDB" w:rsidP="00E47FDB">
      <w:r>
        <w:t xml:space="preserve">The research is exploratory and interpretative, aiming to provide a comprehensive understanding of </w:t>
      </w:r>
      <w:proofErr w:type="spellStart"/>
      <w:r>
        <w:t>Tawhid</w:t>
      </w:r>
      <w:proofErr w:type="spellEnd"/>
      <w:r>
        <w:t xml:space="preserve"> beyond its basic definition. Rather than testing a hypothesis, it investigates the foundational meanings, historical development, theological debates, and practical applications of </w:t>
      </w:r>
      <w:proofErr w:type="spellStart"/>
      <w:r>
        <w:t>Tawhid</w:t>
      </w:r>
      <w:proofErr w:type="spellEnd"/>
      <w:r>
        <w:t xml:space="preserve"> across different eras and perspectives.</w:t>
      </w:r>
    </w:p>
    <w:p w14:paraId="53D12B7C" w14:textId="77777777" w:rsidR="00E47FDB" w:rsidRDefault="00E47FDB" w:rsidP="00E47FDB"/>
    <w:p w14:paraId="1A7E117C" w14:textId="77777777" w:rsidR="00E47FDB" w:rsidRDefault="00E47FDB" w:rsidP="00E47FDB">
      <w:r>
        <w:t>2. Data Sources</w:t>
      </w:r>
    </w:p>
    <w:p w14:paraId="717188ED" w14:textId="77777777" w:rsidR="00E47FDB" w:rsidRDefault="00E47FDB" w:rsidP="00E47FDB"/>
    <w:p w14:paraId="2B9EE5DC" w14:textId="77777777" w:rsidR="00E47FDB" w:rsidRDefault="00E47FDB" w:rsidP="00E47FDB">
      <w:r>
        <w:t>The study primarily relies on secondary sources, including:</w:t>
      </w:r>
    </w:p>
    <w:p w14:paraId="09E4E2D8" w14:textId="77777777" w:rsidR="00E47FDB" w:rsidRDefault="00E47FDB" w:rsidP="00E47FDB"/>
    <w:p w14:paraId="2CDF3B9B" w14:textId="77777777" w:rsidR="00E47FDB" w:rsidRDefault="00E47FDB" w:rsidP="00E47FDB">
      <w:r>
        <w:t>Classical Islamic texts (Qur'an and Hadith)</w:t>
      </w:r>
    </w:p>
    <w:p w14:paraId="0AFE798F" w14:textId="77777777" w:rsidR="00E47FDB" w:rsidRDefault="00E47FDB" w:rsidP="00E47FDB"/>
    <w:p w14:paraId="5F8A2B07" w14:textId="77777777" w:rsidR="00E47FDB" w:rsidRDefault="00E47FDB" w:rsidP="00E47FDB">
      <w:r>
        <w:t xml:space="preserve">Exegetical works (e.g., </w:t>
      </w:r>
      <w:proofErr w:type="spellStart"/>
      <w:r>
        <w:t>Tafsir</w:t>
      </w:r>
      <w:proofErr w:type="spellEnd"/>
      <w:r>
        <w:t xml:space="preserve"> by Al-</w:t>
      </w:r>
      <w:proofErr w:type="spellStart"/>
      <w:r>
        <w:t>Tabari</w:t>
      </w:r>
      <w:proofErr w:type="spellEnd"/>
      <w:r>
        <w:t xml:space="preserve">, Ibn </w:t>
      </w:r>
      <w:proofErr w:type="spellStart"/>
      <w:r>
        <w:t>Kathir</w:t>
      </w:r>
      <w:proofErr w:type="spellEnd"/>
      <w:r>
        <w:t>)</w:t>
      </w:r>
    </w:p>
    <w:p w14:paraId="52A1A1B4" w14:textId="77777777" w:rsidR="00E47FDB" w:rsidRDefault="00E47FDB" w:rsidP="00E47FDB"/>
    <w:p w14:paraId="1DC56164" w14:textId="77777777" w:rsidR="00E47FDB" w:rsidRDefault="00E47FDB" w:rsidP="00E47FDB">
      <w:r>
        <w:t xml:space="preserve">Theological treatises by scholars of </w:t>
      </w:r>
      <w:proofErr w:type="spellStart"/>
      <w:r>
        <w:t>Kalam</w:t>
      </w:r>
      <w:proofErr w:type="spellEnd"/>
      <w:r>
        <w:t xml:space="preserve"> (</w:t>
      </w:r>
      <w:proofErr w:type="spellStart"/>
      <w:r>
        <w:t>Mu’tazilites</w:t>
      </w:r>
      <w:proofErr w:type="spellEnd"/>
      <w:r>
        <w:t xml:space="preserve">, </w:t>
      </w:r>
      <w:proofErr w:type="spellStart"/>
      <w:r>
        <w:t>Ash’arites</w:t>
      </w:r>
      <w:proofErr w:type="spellEnd"/>
      <w:r>
        <w:t>)</w:t>
      </w:r>
    </w:p>
    <w:p w14:paraId="3835FB7E" w14:textId="77777777" w:rsidR="00E47FDB" w:rsidRDefault="00E47FDB" w:rsidP="00E47FDB"/>
    <w:p w14:paraId="09FDD32A" w14:textId="77777777" w:rsidR="00E47FDB" w:rsidRDefault="00E47FDB" w:rsidP="00E47FDB">
      <w:r>
        <w:t>Sufi writings (e.g., Al-</w:t>
      </w:r>
      <w:proofErr w:type="spellStart"/>
      <w:r>
        <w:t>Ghazali</w:t>
      </w:r>
      <w:proofErr w:type="spellEnd"/>
      <w:r>
        <w:t xml:space="preserve">, Ibn </w:t>
      </w:r>
      <w:proofErr w:type="spellStart"/>
      <w:r>
        <w:t>Arabi</w:t>
      </w:r>
      <w:proofErr w:type="spellEnd"/>
      <w:r>
        <w:t>)</w:t>
      </w:r>
    </w:p>
    <w:p w14:paraId="699AA32F" w14:textId="77777777" w:rsidR="00E47FDB" w:rsidRDefault="00E47FDB" w:rsidP="00E47FDB"/>
    <w:p w14:paraId="6C73335D" w14:textId="77777777" w:rsidR="00E47FDB" w:rsidRDefault="00E47FDB" w:rsidP="00E47FDB">
      <w:r>
        <w:t xml:space="preserve">Reformist texts (e.g., Ibn </w:t>
      </w:r>
      <w:proofErr w:type="spellStart"/>
      <w:r>
        <w:t>Taymiyyah</w:t>
      </w:r>
      <w:proofErr w:type="spellEnd"/>
      <w:r>
        <w:t xml:space="preserve">, Muhammad ibn </w:t>
      </w:r>
      <w:proofErr w:type="spellStart"/>
      <w:r>
        <w:t>Abd</w:t>
      </w:r>
      <w:proofErr w:type="spellEnd"/>
      <w:r>
        <w:t xml:space="preserve"> al-</w:t>
      </w:r>
      <w:proofErr w:type="spellStart"/>
      <w:r>
        <w:t>Wahhab</w:t>
      </w:r>
      <w:proofErr w:type="spellEnd"/>
      <w:r>
        <w:t>)</w:t>
      </w:r>
    </w:p>
    <w:p w14:paraId="1A866934" w14:textId="77777777" w:rsidR="00E47FDB" w:rsidRDefault="00E47FDB" w:rsidP="00E47FDB"/>
    <w:p w14:paraId="317EB174" w14:textId="77777777" w:rsidR="00E47FDB" w:rsidRDefault="00E47FDB" w:rsidP="00E47FDB">
      <w:r>
        <w:t xml:space="preserve">Modern thinkers (e.g., Iqbal, </w:t>
      </w:r>
      <w:proofErr w:type="spellStart"/>
      <w:r>
        <w:t>Qutb</w:t>
      </w:r>
      <w:proofErr w:type="spellEnd"/>
      <w:r>
        <w:t>, Nasr, Rahman)</w:t>
      </w:r>
    </w:p>
    <w:p w14:paraId="646A8681" w14:textId="77777777" w:rsidR="00E47FDB" w:rsidRDefault="00E47FDB" w:rsidP="00E47FDB"/>
    <w:p w14:paraId="65B6FB1F" w14:textId="77777777" w:rsidR="00E47FDB" w:rsidRDefault="00E47FDB" w:rsidP="00E47FDB">
      <w:r>
        <w:t>Peer-reviewed journal articles, books, and academic theses</w:t>
      </w:r>
    </w:p>
    <w:p w14:paraId="37CCC28F" w14:textId="77777777" w:rsidR="00E47FDB" w:rsidRDefault="00E47FDB" w:rsidP="00E47FDB"/>
    <w:p w14:paraId="4550A9D0" w14:textId="77777777" w:rsidR="00E47FDB" w:rsidRDefault="00E47FDB" w:rsidP="00E47FDB"/>
    <w:p w14:paraId="428F5D70" w14:textId="77777777" w:rsidR="00E47FDB" w:rsidRDefault="00E47FDB" w:rsidP="00E47FDB">
      <w:r>
        <w:t>Where relevant, translations of primary Arabic texts are used, ensuring accuracy and fidelity to the original meanings.</w:t>
      </w:r>
    </w:p>
    <w:p w14:paraId="11007977" w14:textId="77777777" w:rsidR="00E47FDB" w:rsidRDefault="00E47FDB" w:rsidP="00E47FDB"/>
    <w:p w14:paraId="5A4093A9" w14:textId="77777777" w:rsidR="00E47FDB" w:rsidRDefault="00E47FDB" w:rsidP="00E47FDB">
      <w:r>
        <w:t>3. Method of Data Collection</w:t>
      </w:r>
    </w:p>
    <w:p w14:paraId="7A6D9488" w14:textId="77777777" w:rsidR="00E47FDB" w:rsidRDefault="00E47FDB" w:rsidP="00E47FDB"/>
    <w:p w14:paraId="58E812F3" w14:textId="77777777" w:rsidR="00E47FDB" w:rsidRDefault="00E47FDB" w:rsidP="00E47FDB">
      <w:r>
        <w:t>The collection of data involves a systematic review of:</w:t>
      </w:r>
    </w:p>
    <w:p w14:paraId="5A2BE38B" w14:textId="77777777" w:rsidR="00E47FDB" w:rsidRDefault="00E47FDB" w:rsidP="00E47FDB"/>
    <w:p w14:paraId="60C54195" w14:textId="77777777" w:rsidR="00E47FDB" w:rsidRDefault="00E47FDB" w:rsidP="00E47FDB">
      <w:r>
        <w:t xml:space="preserve">Qur’anic verses related to </w:t>
      </w:r>
      <w:proofErr w:type="spellStart"/>
      <w:r>
        <w:t>Tawhid</w:t>
      </w:r>
      <w:proofErr w:type="spellEnd"/>
      <w:r>
        <w:t>, using thematic and linguistic analysis.</w:t>
      </w:r>
    </w:p>
    <w:p w14:paraId="0A71D529" w14:textId="77777777" w:rsidR="00E47FDB" w:rsidRDefault="00E47FDB" w:rsidP="00E47FDB"/>
    <w:p w14:paraId="4C0B4C2D" w14:textId="77777777" w:rsidR="00E47FDB" w:rsidRDefault="00E47FDB" w:rsidP="00E47FDB">
      <w:r>
        <w:t>Hadiths that address aspects of divine oneness and its implications for belief and worship.</w:t>
      </w:r>
    </w:p>
    <w:p w14:paraId="687642B8" w14:textId="77777777" w:rsidR="00E47FDB" w:rsidRDefault="00E47FDB" w:rsidP="00E47FDB"/>
    <w:p w14:paraId="1BEA8E06" w14:textId="77777777" w:rsidR="00E47FDB" w:rsidRDefault="00E47FDB" w:rsidP="00E47FDB">
      <w:r>
        <w:t>Scholarly commentary and debates from theological, philosophical, and mystical traditions.</w:t>
      </w:r>
    </w:p>
    <w:p w14:paraId="1057355A" w14:textId="77777777" w:rsidR="00E47FDB" w:rsidRDefault="00E47FDB" w:rsidP="00E47FDB"/>
    <w:p w14:paraId="7CA687DF" w14:textId="77777777" w:rsidR="00E47FDB" w:rsidRDefault="00E47FDB" w:rsidP="00E47FDB">
      <w:r>
        <w:t>Contemporary interpretations, especially in relation to politics, society, and modernity.</w:t>
      </w:r>
    </w:p>
    <w:p w14:paraId="1BB76F79" w14:textId="77777777" w:rsidR="00E47FDB" w:rsidRDefault="00E47FDB" w:rsidP="00E47FDB"/>
    <w:p w14:paraId="673C395D" w14:textId="77777777" w:rsidR="00E47FDB" w:rsidRDefault="00E47FDB" w:rsidP="00E47FDB"/>
    <w:p w14:paraId="0C719EC6" w14:textId="77777777" w:rsidR="00E47FDB" w:rsidRDefault="00E47FDB" w:rsidP="00E47FDB">
      <w:r>
        <w:t>Digital libraries, academic databases (such as JSTOR, Al-</w:t>
      </w:r>
      <w:proofErr w:type="spellStart"/>
      <w:r>
        <w:t>Maktabah</w:t>
      </w:r>
      <w:proofErr w:type="spellEnd"/>
      <w:r>
        <w:t xml:space="preserve"> al-</w:t>
      </w:r>
      <w:proofErr w:type="spellStart"/>
      <w:r>
        <w:t>Shamilah</w:t>
      </w:r>
      <w:proofErr w:type="spellEnd"/>
      <w:r>
        <w:t>, and Google Scholar), and university repositories are used to access a wide spectrum of sources.</w:t>
      </w:r>
    </w:p>
    <w:p w14:paraId="7DE4BA50" w14:textId="77777777" w:rsidR="00E47FDB" w:rsidRDefault="00E47FDB" w:rsidP="00E47FDB"/>
    <w:p w14:paraId="4ACC8B98" w14:textId="77777777" w:rsidR="00E47FDB" w:rsidRPr="000D7F9C" w:rsidRDefault="00E47FDB" w:rsidP="00E47FDB">
      <w:pPr>
        <w:rPr>
          <w:b/>
          <w:bCs/>
          <w:i/>
          <w:iCs/>
        </w:rPr>
      </w:pPr>
      <w:r w:rsidRPr="000D7F9C">
        <w:rPr>
          <w:b/>
          <w:bCs/>
          <w:i/>
          <w:iCs/>
        </w:rPr>
        <w:t>4. Analytical Framework</w:t>
      </w:r>
    </w:p>
    <w:p w14:paraId="24141BB7" w14:textId="77777777" w:rsidR="00E47FDB" w:rsidRDefault="00E47FDB" w:rsidP="00E47FDB"/>
    <w:p w14:paraId="3277F8A0" w14:textId="77777777" w:rsidR="00E47FDB" w:rsidRDefault="00E47FDB" w:rsidP="00E47FDB">
      <w:r>
        <w:t>The analysis is both descriptive and comparative:</w:t>
      </w:r>
    </w:p>
    <w:p w14:paraId="3F89CDFE" w14:textId="77777777" w:rsidR="00E47FDB" w:rsidRDefault="00E47FDB" w:rsidP="00E47FDB"/>
    <w:p w14:paraId="24B06822" w14:textId="77777777" w:rsidR="00E47FDB" w:rsidRDefault="00E47FDB" w:rsidP="00E47FDB">
      <w:r>
        <w:t xml:space="preserve">Descriptive in explaining how </w:t>
      </w:r>
      <w:proofErr w:type="spellStart"/>
      <w:r>
        <w:t>Tawhid</w:t>
      </w:r>
      <w:proofErr w:type="spellEnd"/>
      <w:r>
        <w:t xml:space="preserve"> is presented in various sources.</w:t>
      </w:r>
    </w:p>
    <w:p w14:paraId="1E97B88B" w14:textId="77777777" w:rsidR="00E47FDB" w:rsidRDefault="00E47FDB" w:rsidP="00E47FDB"/>
    <w:p w14:paraId="3D8F7E51" w14:textId="77777777" w:rsidR="00E47FDB" w:rsidRDefault="00E47FDB" w:rsidP="00E47FDB">
      <w:r>
        <w:t xml:space="preserve">Comparative in evaluating the differences in theological interpretation across Islamic sects (e.g., Sunni vs. Shi'a, </w:t>
      </w:r>
      <w:proofErr w:type="spellStart"/>
      <w:r>
        <w:t>Kalam</w:t>
      </w:r>
      <w:proofErr w:type="spellEnd"/>
      <w:r>
        <w:t xml:space="preserve"> vs. Sufism).</w:t>
      </w:r>
    </w:p>
    <w:p w14:paraId="44EDD0C0" w14:textId="77777777" w:rsidR="00E47FDB" w:rsidRDefault="00E47FDB" w:rsidP="00E47FDB"/>
    <w:p w14:paraId="726E4218" w14:textId="77777777" w:rsidR="00E47FDB" w:rsidRDefault="00E47FDB" w:rsidP="00E47FDB"/>
    <w:p w14:paraId="0AEA8596" w14:textId="77777777" w:rsidR="00E47FDB" w:rsidRDefault="00E47FDB" w:rsidP="00E47FDB">
      <w:r>
        <w:t xml:space="preserve">Attention is also given to historical context, recognizing how different eras shaped theological priorities and understandings of </w:t>
      </w:r>
      <w:proofErr w:type="spellStart"/>
      <w:r>
        <w:t>Tawhid</w:t>
      </w:r>
      <w:proofErr w:type="spellEnd"/>
      <w:r>
        <w:t>.</w:t>
      </w:r>
    </w:p>
    <w:p w14:paraId="62139080" w14:textId="77777777" w:rsidR="00E47FDB" w:rsidRDefault="00E47FDB" w:rsidP="00E47FDB"/>
    <w:p w14:paraId="239B6381" w14:textId="77777777" w:rsidR="00E47FDB" w:rsidRPr="000D7F9C" w:rsidRDefault="00E47FDB" w:rsidP="00E47FDB">
      <w:pPr>
        <w:rPr>
          <w:b/>
          <w:bCs/>
          <w:i/>
          <w:iCs/>
        </w:rPr>
      </w:pPr>
      <w:r w:rsidRPr="000D7F9C">
        <w:rPr>
          <w:b/>
          <w:bCs/>
          <w:i/>
          <w:iCs/>
        </w:rPr>
        <w:t>5. Limitations</w:t>
      </w:r>
    </w:p>
    <w:p w14:paraId="1B452003" w14:textId="77777777" w:rsidR="00E47FDB" w:rsidRDefault="00E47FDB" w:rsidP="00E47FDB"/>
    <w:p w14:paraId="34599B83" w14:textId="77E58916" w:rsidR="00E47FDB" w:rsidRDefault="00E47FDB" w:rsidP="00E47FDB">
      <w:r>
        <w:t>While the study aims for comprehensiveness, it acknowledges several limitations:</w:t>
      </w:r>
    </w:p>
    <w:p w14:paraId="2EB3929C" w14:textId="54D98FFE" w:rsidR="00E47FDB" w:rsidRDefault="00E47FDB" w:rsidP="00E47FDB">
      <w:r>
        <w:t>Language constraints: Many classical texts are in Arabic and Persian; reliance on translations may introduce interpretive nuance.</w:t>
      </w:r>
    </w:p>
    <w:p w14:paraId="0093CAF6" w14:textId="6F29A436" w:rsidR="00E47FDB" w:rsidRDefault="00E47FDB" w:rsidP="00E47FDB">
      <w:r>
        <w:t>Theological diversity: The vast spectrum of Islamic thought means not every view can be covered exhaustively.</w:t>
      </w:r>
    </w:p>
    <w:p w14:paraId="6860CC44" w14:textId="65E61025" w:rsidR="00E47FDB" w:rsidRDefault="00E47FDB" w:rsidP="00E47FDB">
      <w:r>
        <w:t>Contemporary biases: Modern interpretations are often shaped by socio-political agendas, which require careful contextualization.</w:t>
      </w:r>
    </w:p>
    <w:p w14:paraId="007547AF" w14:textId="06FFAB0D" w:rsidR="00E47FDB" w:rsidRPr="00E47FDB" w:rsidRDefault="00E47FDB" w:rsidP="00E47FDB">
      <w:pPr>
        <w:rPr>
          <w:b/>
          <w:bCs/>
          <w:i/>
          <w:iCs/>
        </w:rPr>
      </w:pPr>
      <w:r w:rsidRPr="00E47FDB">
        <w:rPr>
          <w:b/>
          <w:bCs/>
          <w:i/>
          <w:iCs/>
        </w:rPr>
        <w:t>6. Ethical Considerations</w:t>
      </w:r>
    </w:p>
    <w:p w14:paraId="754A555E" w14:textId="2E4BB966" w:rsidR="007C3EE7" w:rsidRDefault="00E47FDB" w:rsidP="00BA32F4">
      <w:r>
        <w:t>All sources are cited properly in accordance with academic standards. The study maintains respect for all theological traditions within Islam and aims to foster understanding rather than polemics. Controversial viewpoints are presented with scholarly neutrality.</w:t>
      </w:r>
    </w:p>
    <w:p w14:paraId="69D0259D" w14:textId="77777777" w:rsidR="00E47FDB" w:rsidRDefault="00E47FDB" w:rsidP="00BA32F4"/>
    <w:p w14:paraId="39DA6F35" w14:textId="77777777" w:rsidR="00E47FDB" w:rsidRDefault="00E47FDB" w:rsidP="00BA32F4"/>
    <w:p w14:paraId="09904C41" w14:textId="77777777" w:rsidR="00E47FDB" w:rsidRDefault="00E47FDB" w:rsidP="00BA32F4"/>
    <w:p w14:paraId="088F9890" w14:textId="77777777" w:rsidR="00E47FDB" w:rsidRDefault="00E47FDB" w:rsidP="00BA32F4"/>
    <w:p w14:paraId="2F5ECE3B" w14:textId="77777777" w:rsidR="00E47FDB" w:rsidRDefault="00E47FDB" w:rsidP="00BA32F4"/>
    <w:p w14:paraId="4FF566F9" w14:textId="77777777" w:rsidR="003D2C48" w:rsidRDefault="003D2C48" w:rsidP="00BA32F4"/>
    <w:p w14:paraId="6738E5D5" w14:textId="77777777" w:rsidR="006B7280" w:rsidRDefault="006B7280" w:rsidP="00BA32F4"/>
    <w:p w14:paraId="08958589" w14:textId="77777777" w:rsidR="006B7280" w:rsidRDefault="006B7280" w:rsidP="00BA32F4"/>
    <w:p w14:paraId="55118659" w14:textId="77777777" w:rsidR="006B7280" w:rsidRPr="005F66D7" w:rsidRDefault="006B7280" w:rsidP="006B7280">
      <w:pPr>
        <w:rPr>
          <w:b/>
          <w:bCs/>
          <w:i/>
          <w:iCs/>
        </w:rPr>
      </w:pPr>
      <w:r w:rsidRPr="005F66D7">
        <w:rPr>
          <w:b/>
          <w:bCs/>
          <w:i/>
          <w:iCs/>
        </w:rPr>
        <w:t xml:space="preserve">Theological Analysis of </w:t>
      </w:r>
      <w:proofErr w:type="spellStart"/>
      <w:r w:rsidRPr="005F66D7">
        <w:rPr>
          <w:b/>
          <w:bCs/>
          <w:i/>
          <w:iCs/>
        </w:rPr>
        <w:t>Tawhid</w:t>
      </w:r>
      <w:proofErr w:type="spellEnd"/>
    </w:p>
    <w:p w14:paraId="1C5BF45A" w14:textId="77777777" w:rsidR="006B7280" w:rsidRDefault="006B7280" w:rsidP="006B7280"/>
    <w:p w14:paraId="0EB9E961" w14:textId="77777777" w:rsidR="006B7280" w:rsidRDefault="006B7280" w:rsidP="006B7280">
      <w:proofErr w:type="spellStart"/>
      <w:r>
        <w:t>Tawhid</w:t>
      </w:r>
      <w:proofErr w:type="spellEnd"/>
      <w:r>
        <w:t xml:space="preserve">, as the foundational creed of Islam, has been subject to deep theological contemplation throughout Islamic history. The theological analysis in this study </w:t>
      </w:r>
      <w:proofErr w:type="spellStart"/>
      <w:r>
        <w:t>centers</w:t>
      </w:r>
      <w:proofErr w:type="spellEnd"/>
      <w:r>
        <w:t xml:space="preserve"> on the multifaceted nature of </w:t>
      </w:r>
      <w:proofErr w:type="spellStart"/>
      <w:r>
        <w:t>Tawhid</w:t>
      </w:r>
      <w:proofErr w:type="spellEnd"/>
      <w:r>
        <w:t xml:space="preserve"> as articulated in primary Islamic sources and interpreted by successive generations of scholars. This section categorizes </w:t>
      </w:r>
      <w:proofErr w:type="spellStart"/>
      <w:r>
        <w:t>Tawhid</w:t>
      </w:r>
      <w:proofErr w:type="spellEnd"/>
      <w:r>
        <w:t xml:space="preserve"> into key dimensions, examines doctrinal disputes, and evaluates the internal coherence and broader implications of these interpretations.</w:t>
      </w:r>
    </w:p>
    <w:p w14:paraId="0D3AE90F" w14:textId="77777777" w:rsidR="006B7280" w:rsidRDefault="006B7280" w:rsidP="006B7280"/>
    <w:p w14:paraId="280BAE7B" w14:textId="77777777" w:rsidR="006B7280" w:rsidRDefault="006B7280" w:rsidP="006B7280">
      <w:proofErr w:type="spellStart"/>
      <w:r>
        <w:t>Tawhid</w:t>
      </w:r>
      <w:proofErr w:type="spellEnd"/>
      <w:r>
        <w:t xml:space="preserve"> al-</w:t>
      </w:r>
      <w:proofErr w:type="spellStart"/>
      <w:r>
        <w:t>Rububiyyah</w:t>
      </w:r>
      <w:proofErr w:type="spellEnd"/>
      <w:r>
        <w:t xml:space="preserve"> (Oneness of Lordship)</w:t>
      </w:r>
    </w:p>
    <w:p w14:paraId="633169D7" w14:textId="77777777" w:rsidR="006B7280" w:rsidRDefault="006B7280" w:rsidP="006B7280"/>
    <w:p w14:paraId="79B6500B" w14:textId="77777777" w:rsidR="006B7280" w:rsidRDefault="006B7280" w:rsidP="006B7280">
      <w:r>
        <w:t xml:space="preserve">This dimension asserts that Allah alone is the creator, </w:t>
      </w:r>
      <w:proofErr w:type="spellStart"/>
      <w:r>
        <w:t>sustainer</w:t>
      </w:r>
      <w:proofErr w:type="spellEnd"/>
      <w:r>
        <w:t xml:space="preserve">, and ruler of the universe. It emphasizes God's absolute sovereignty, omnipotence, and control over all affairs. The Qur'an often appeals to this aspect of </w:t>
      </w:r>
      <w:proofErr w:type="spellStart"/>
      <w:r>
        <w:t>Tawhid</w:t>
      </w:r>
      <w:proofErr w:type="spellEnd"/>
      <w:r>
        <w:t xml:space="preserve"> by inviting reflection on the natural world as evidence of a single divine source. For example, in Surah </w:t>
      </w:r>
      <w:proofErr w:type="spellStart"/>
      <w:r>
        <w:t>Yunus</w:t>
      </w:r>
      <w:proofErr w:type="spellEnd"/>
      <w:r>
        <w:t xml:space="preserve"> (10:31), Allah asks: "Who provides for you from the sky and the earth? Or who owns hearing and sight? ... Is there a deity with Allah?" This rhetorical questioning leads to the conclusion that no entity shares in Allah’s governance.</w:t>
      </w:r>
    </w:p>
    <w:p w14:paraId="6229A843" w14:textId="77777777" w:rsidR="006B7280" w:rsidRDefault="006B7280" w:rsidP="006B7280"/>
    <w:p w14:paraId="7328EC53" w14:textId="77777777" w:rsidR="006B7280" w:rsidRDefault="006B7280" w:rsidP="006B7280">
      <w:proofErr w:type="spellStart"/>
      <w:r>
        <w:t>Tawhid</w:t>
      </w:r>
      <w:proofErr w:type="spellEnd"/>
      <w:r>
        <w:t xml:space="preserve"> al-</w:t>
      </w:r>
      <w:proofErr w:type="spellStart"/>
      <w:r>
        <w:t>Asma</w:t>
      </w:r>
      <w:proofErr w:type="spellEnd"/>
      <w:r>
        <w:t xml:space="preserve"> </w:t>
      </w:r>
      <w:proofErr w:type="spellStart"/>
      <w:r>
        <w:t>wa</w:t>
      </w:r>
      <w:proofErr w:type="spellEnd"/>
      <w:r>
        <w:t xml:space="preserve"> al-</w:t>
      </w:r>
      <w:proofErr w:type="spellStart"/>
      <w:r>
        <w:t>Sifat</w:t>
      </w:r>
      <w:proofErr w:type="spellEnd"/>
      <w:r>
        <w:t xml:space="preserve"> (Oneness of Names and Attributes)</w:t>
      </w:r>
    </w:p>
    <w:p w14:paraId="03FF3221" w14:textId="77777777" w:rsidR="006B7280" w:rsidRDefault="006B7280" w:rsidP="006B7280"/>
    <w:p w14:paraId="7032C6C5" w14:textId="77777777" w:rsidR="006B7280" w:rsidRDefault="006B7280" w:rsidP="006B7280">
      <w:r>
        <w:t xml:space="preserve">This category addresses the uniqueness and perfection of Allah’s names and attributes. Classical scholars diverged in their approaches to interpreting verses about divine attributes. The </w:t>
      </w:r>
      <w:proofErr w:type="spellStart"/>
      <w:r>
        <w:t>Mu’tazilites</w:t>
      </w:r>
      <w:proofErr w:type="spellEnd"/>
      <w:r>
        <w:t xml:space="preserve">, for instance, emphasized divine unity to the extent that they rejected the existence of real, separate attributes, fearing this would compromise God’s oneness. Conversely, </w:t>
      </w:r>
      <w:proofErr w:type="spellStart"/>
      <w:r>
        <w:t>Ash’arite</w:t>
      </w:r>
      <w:proofErr w:type="spellEnd"/>
      <w:r>
        <w:t xml:space="preserve"> theologians maintained that God's attributes are eternal and distinct from creation but do not imply multiplicity in God's essence.</w:t>
      </w:r>
    </w:p>
    <w:p w14:paraId="670068E7" w14:textId="77777777" w:rsidR="006B7280" w:rsidRDefault="006B7280" w:rsidP="006B7280"/>
    <w:p w14:paraId="15C550FE" w14:textId="77777777" w:rsidR="006B7280" w:rsidRDefault="006B7280" w:rsidP="006B7280">
      <w:r>
        <w:t>Sufi scholars added an experiential layer to this dimension. They viewed God’s attributes not just as theological affirmations but as existential truths to be experienced inwardly. Terms such as "al-Rahman" (The Most Merciful) were not just descriptors of God but reflections of divine presence in the believer’s heart.</w:t>
      </w:r>
    </w:p>
    <w:p w14:paraId="4DC0E967" w14:textId="77777777" w:rsidR="006B7280" w:rsidRDefault="006B7280" w:rsidP="006B7280"/>
    <w:p w14:paraId="7CC6F90B" w14:textId="77777777" w:rsidR="006B7280" w:rsidRDefault="006B7280" w:rsidP="006B7280">
      <w:proofErr w:type="spellStart"/>
      <w:r>
        <w:t>Tawhid</w:t>
      </w:r>
      <w:proofErr w:type="spellEnd"/>
      <w:r>
        <w:t xml:space="preserve"> al-</w:t>
      </w:r>
      <w:proofErr w:type="spellStart"/>
      <w:r>
        <w:t>Uluhiyyah</w:t>
      </w:r>
      <w:proofErr w:type="spellEnd"/>
      <w:r>
        <w:t xml:space="preserve"> (Oneness of Worship)</w:t>
      </w:r>
    </w:p>
    <w:p w14:paraId="784D1906" w14:textId="77777777" w:rsidR="006B7280" w:rsidRDefault="006B7280" w:rsidP="006B7280"/>
    <w:p w14:paraId="40C5E8F3" w14:textId="77777777" w:rsidR="006B7280" w:rsidRDefault="006B7280" w:rsidP="006B7280">
      <w:r>
        <w:t>This aspect pertains to the exclusive right of Allah to be worshipped. It emphasizes that all acts of devotion—prayer, supplication, reliance, fear, and love—must be directed solely toward Allah. This was the principal message conveyed by the Prophet Muhammad (peace be upon him) to a polytheistic society, seeking to redirect spiritual allegiance from idols and intermediaries to the One true God.</w:t>
      </w:r>
    </w:p>
    <w:p w14:paraId="0386902B" w14:textId="77777777" w:rsidR="006B7280" w:rsidRDefault="006B7280" w:rsidP="006B7280"/>
    <w:p w14:paraId="5C556596" w14:textId="77777777" w:rsidR="006B7280" w:rsidRDefault="006B7280" w:rsidP="006B7280">
      <w:r>
        <w:t xml:space="preserve">The failure to uphold this aspect leads to shirk (associating partners with God), which the Qur'an condemns as the gravest sin. Hence, </w:t>
      </w:r>
      <w:proofErr w:type="spellStart"/>
      <w:r>
        <w:t>Tawhid</w:t>
      </w:r>
      <w:proofErr w:type="spellEnd"/>
      <w:r>
        <w:t xml:space="preserve"> al-</w:t>
      </w:r>
      <w:proofErr w:type="spellStart"/>
      <w:r>
        <w:t>Uluhiyyah</w:t>
      </w:r>
      <w:proofErr w:type="spellEnd"/>
      <w:r>
        <w:t xml:space="preserve"> is not merely theoretical; it has practical implications for daily religious life and the ethical </w:t>
      </w:r>
      <w:proofErr w:type="spellStart"/>
      <w:r>
        <w:t>behavior</w:t>
      </w:r>
      <w:proofErr w:type="spellEnd"/>
      <w:r>
        <w:t xml:space="preserve"> of a believer.</w:t>
      </w:r>
    </w:p>
    <w:p w14:paraId="53270C86" w14:textId="77777777" w:rsidR="006B7280" w:rsidRDefault="006B7280" w:rsidP="006B7280"/>
    <w:p w14:paraId="1C185323" w14:textId="77777777" w:rsidR="006B7280" w:rsidRDefault="006B7280" w:rsidP="006B7280">
      <w:r>
        <w:t>Integration of the Three Dimensions</w:t>
      </w:r>
    </w:p>
    <w:p w14:paraId="6C3A331D" w14:textId="77777777" w:rsidR="006B7280" w:rsidRDefault="006B7280" w:rsidP="006B7280"/>
    <w:p w14:paraId="0FC7D1BB" w14:textId="77777777" w:rsidR="006B7280" w:rsidRDefault="006B7280" w:rsidP="006B7280">
      <w:r>
        <w:t xml:space="preserve">Ibn </w:t>
      </w:r>
      <w:proofErr w:type="spellStart"/>
      <w:r>
        <w:t>Taymiyyah’s</w:t>
      </w:r>
      <w:proofErr w:type="spellEnd"/>
      <w:r>
        <w:t xml:space="preserve"> classification of </w:t>
      </w:r>
      <w:proofErr w:type="spellStart"/>
      <w:r>
        <w:t>Tawhid</w:t>
      </w:r>
      <w:proofErr w:type="spellEnd"/>
      <w:r>
        <w:t xml:space="preserve"> into these three interrelated categories offered a systematic framework that helped prevent theological confusion. He argued that denying any of these aspects results in an incomplete or distorted understanding of </w:t>
      </w:r>
      <w:proofErr w:type="spellStart"/>
      <w:r>
        <w:t>Tawhid</w:t>
      </w:r>
      <w:proofErr w:type="spellEnd"/>
      <w:r>
        <w:t>. This framework was further popularized by reformist movements seeking to revive pure monotheism in Muslim communities.</w:t>
      </w:r>
    </w:p>
    <w:p w14:paraId="7FC59F83" w14:textId="77777777" w:rsidR="006B7280" w:rsidRDefault="006B7280" w:rsidP="006B7280"/>
    <w:p w14:paraId="5B8567B7" w14:textId="77777777" w:rsidR="006B7280" w:rsidRDefault="006B7280" w:rsidP="006B7280">
      <w:r>
        <w:t>Implications and Interpretive Diversity</w:t>
      </w:r>
    </w:p>
    <w:p w14:paraId="27E8AC60" w14:textId="77777777" w:rsidR="006B7280" w:rsidRDefault="006B7280" w:rsidP="006B7280"/>
    <w:p w14:paraId="2429B100" w14:textId="77777777" w:rsidR="006B7280" w:rsidRDefault="006B7280" w:rsidP="006B7280">
      <w:proofErr w:type="spellStart"/>
      <w:r>
        <w:t>Tawhid</w:t>
      </w:r>
      <w:proofErr w:type="spellEnd"/>
      <w:r>
        <w:t xml:space="preserve"> is not a static doctrine but a dynamic principle that engages with time, culture, and intellectual currents. Sunni, Shi'a, Sufi, and reformist thinkers have all drawn from the Qur’anic foundation of </w:t>
      </w:r>
      <w:proofErr w:type="spellStart"/>
      <w:r>
        <w:t>Tawhid</w:t>
      </w:r>
      <w:proofErr w:type="spellEnd"/>
      <w:r>
        <w:t xml:space="preserve"> but emphasized different aspects depending on context. For instance, Shi’a theology often highlights </w:t>
      </w:r>
      <w:proofErr w:type="spellStart"/>
      <w:r>
        <w:t>Tawhid</w:t>
      </w:r>
      <w:proofErr w:type="spellEnd"/>
      <w:r>
        <w:t xml:space="preserve"> in the context of divine justice and Imamate, while Sufi traditions emphasize the soul’s journey toward divine unity.</w:t>
      </w:r>
    </w:p>
    <w:p w14:paraId="6E780378" w14:textId="77777777" w:rsidR="006B7280" w:rsidRDefault="006B7280" w:rsidP="006B7280"/>
    <w:p w14:paraId="0D2A14D3" w14:textId="77777777" w:rsidR="006B7280" w:rsidRDefault="006B7280" w:rsidP="006B7280">
      <w:r>
        <w:t xml:space="preserve">In contemporary discourse, </w:t>
      </w:r>
      <w:proofErr w:type="spellStart"/>
      <w:r>
        <w:t>Tawhid</w:t>
      </w:r>
      <w:proofErr w:type="spellEnd"/>
      <w:r>
        <w:t xml:space="preserve"> is invoked as a response to secularism, injustice, and social disintegration. Thinkers like </w:t>
      </w:r>
      <w:proofErr w:type="spellStart"/>
      <w:r>
        <w:t>Sayyid</w:t>
      </w:r>
      <w:proofErr w:type="spellEnd"/>
      <w:r>
        <w:t xml:space="preserve"> </w:t>
      </w:r>
      <w:proofErr w:type="spellStart"/>
      <w:r>
        <w:t>Qutb</w:t>
      </w:r>
      <w:proofErr w:type="spellEnd"/>
      <w:r>
        <w:t xml:space="preserve"> interpreted </w:t>
      </w:r>
      <w:proofErr w:type="spellStart"/>
      <w:r>
        <w:t>Tawhid</w:t>
      </w:r>
      <w:proofErr w:type="spellEnd"/>
      <w:r>
        <w:t xml:space="preserve"> as a revolutionary principle demanding total submission to God in all spheres of life—spiritual, political, and economic. Meanwhile, modern theologians like </w:t>
      </w:r>
      <w:proofErr w:type="spellStart"/>
      <w:r>
        <w:t>Seyyed</w:t>
      </w:r>
      <w:proofErr w:type="spellEnd"/>
      <w:r>
        <w:t xml:space="preserve"> Hossein Nasr stress </w:t>
      </w:r>
      <w:proofErr w:type="spellStart"/>
      <w:r>
        <w:t>Tawhid’s</w:t>
      </w:r>
      <w:proofErr w:type="spellEnd"/>
      <w:r>
        <w:t xml:space="preserve"> ecological and metaphysical dimensions, advocating for a harmonious relationship between man, nature, and the divine.</w:t>
      </w:r>
    </w:p>
    <w:p w14:paraId="226D8A4B" w14:textId="77777777" w:rsidR="006B7280" w:rsidRDefault="006B7280" w:rsidP="006B7280"/>
    <w:p w14:paraId="1F0F4C5F" w14:textId="5F5F1618" w:rsidR="006B7280" w:rsidRDefault="006B7280" w:rsidP="00BA32F4">
      <w:r>
        <w:t xml:space="preserve">This theological analysis reveals that </w:t>
      </w:r>
      <w:proofErr w:type="spellStart"/>
      <w:r>
        <w:t>Tawhid</w:t>
      </w:r>
      <w:proofErr w:type="spellEnd"/>
      <w:r>
        <w:t xml:space="preserve"> is not limited to metaphysical abstraction. It is a living doctrine that animates Islamic thought and practice, capable of guiding Muslims through changing historical and spiritual landscapes.</w:t>
      </w:r>
    </w:p>
    <w:p w14:paraId="32C812FE" w14:textId="77777777" w:rsidR="005F66D7" w:rsidRDefault="005F66D7" w:rsidP="00BA32F4"/>
    <w:p w14:paraId="0D4A929C" w14:textId="77777777" w:rsidR="005F66D7" w:rsidRDefault="005F66D7" w:rsidP="00BA32F4"/>
    <w:p w14:paraId="3B6B8146" w14:textId="77777777" w:rsidR="005F66D7" w:rsidRDefault="005F66D7" w:rsidP="00BA32F4"/>
    <w:p w14:paraId="2CB6E880" w14:textId="77777777" w:rsidR="005F66D7" w:rsidRDefault="005F66D7" w:rsidP="00BA32F4"/>
    <w:p w14:paraId="6FDFF8AB" w14:textId="77777777" w:rsidR="005F66D7" w:rsidRDefault="005F66D7" w:rsidP="00BA32F4"/>
    <w:p w14:paraId="59544F63" w14:textId="77777777" w:rsidR="006B7280" w:rsidRDefault="006B7280" w:rsidP="00BA32F4"/>
    <w:p w14:paraId="7CBF2AD2" w14:textId="77777777" w:rsidR="003D2C48" w:rsidRDefault="003D2C48" w:rsidP="00BA32F4"/>
    <w:p w14:paraId="0695DE76" w14:textId="77777777" w:rsidR="000A2A35" w:rsidRDefault="000A2A35" w:rsidP="00BA32F4"/>
    <w:p w14:paraId="6BD91746" w14:textId="77777777" w:rsidR="000A2A35" w:rsidRDefault="000A2A35" w:rsidP="00BA32F4"/>
    <w:p w14:paraId="0A22A231" w14:textId="77777777" w:rsidR="000A2A35" w:rsidRDefault="000A2A35" w:rsidP="00BA32F4"/>
    <w:p w14:paraId="4E87EC12" w14:textId="77777777" w:rsidR="000A2A35" w:rsidRDefault="000A2A35" w:rsidP="00BA32F4"/>
    <w:p w14:paraId="5751E252" w14:textId="77777777" w:rsidR="000A2A35" w:rsidRDefault="000A2A35" w:rsidP="00BA32F4"/>
    <w:p w14:paraId="4F246097" w14:textId="77777777" w:rsidR="000A2A35" w:rsidRDefault="000A2A35" w:rsidP="00BA32F4"/>
    <w:p w14:paraId="5C760F3A" w14:textId="77777777" w:rsidR="000A2A35" w:rsidRDefault="000A2A35" w:rsidP="00BA32F4"/>
    <w:p w14:paraId="1A1244FD" w14:textId="77777777" w:rsidR="000A2A35" w:rsidRDefault="000A2A35" w:rsidP="00BA32F4"/>
    <w:p w14:paraId="311B8BD8" w14:textId="77777777" w:rsidR="000A2A35" w:rsidRDefault="000A2A35" w:rsidP="00BA32F4"/>
    <w:p w14:paraId="48437852" w14:textId="77777777" w:rsidR="000A2A35" w:rsidRDefault="000A2A35" w:rsidP="00BA32F4"/>
    <w:p w14:paraId="36C540A2" w14:textId="77777777" w:rsidR="000A2A35" w:rsidRDefault="000A2A35" w:rsidP="000A2A35">
      <w:r>
        <w:t>Discussion of Findings</w:t>
      </w:r>
    </w:p>
    <w:p w14:paraId="484D6317" w14:textId="77777777" w:rsidR="000A2A35" w:rsidRDefault="000A2A35" w:rsidP="000A2A35"/>
    <w:p w14:paraId="5BDF33D5" w14:textId="77777777" w:rsidR="000A2A35" w:rsidRDefault="000A2A35" w:rsidP="000A2A35">
      <w:r>
        <w:t xml:space="preserve">The findings of this study confirm the foundational and multidimensional role of </w:t>
      </w:r>
      <w:proofErr w:type="spellStart"/>
      <w:r>
        <w:t>Tawhid</w:t>
      </w:r>
      <w:proofErr w:type="spellEnd"/>
      <w:r>
        <w:t xml:space="preserve"> in shaping Islamic theology and civilization. The study demonstrates that </w:t>
      </w:r>
      <w:proofErr w:type="spellStart"/>
      <w:r>
        <w:t>Tawhid</w:t>
      </w:r>
      <w:proofErr w:type="spellEnd"/>
      <w:r>
        <w:t xml:space="preserve"> is not only a theological principle but a comprehensive worldview that governs belief, ethics, politics, spirituality, and identity. Its influence pervades every aspect of the Islamic tradition—from doctrinal creeds and jurisprudence to mystical experiences and modern reformist thought.</w:t>
      </w:r>
    </w:p>
    <w:p w14:paraId="1CD4615A" w14:textId="77777777" w:rsidR="000A2A35" w:rsidRDefault="000A2A35" w:rsidP="000A2A35"/>
    <w:p w14:paraId="1AA76D8C" w14:textId="77777777" w:rsidR="000A2A35" w:rsidRDefault="000A2A35" w:rsidP="000A2A35">
      <w:r>
        <w:t xml:space="preserve">A key finding is the persistent centrality of </w:t>
      </w:r>
      <w:proofErr w:type="spellStart"/>
      <w:r>
        <w:t>Tawhid</w:t>
      </w:r>
      <w:proofErr w:type="spellEnd"/>
      <w:r>
        <w:t xml:space="preserve"> in the Qur’an and Hadith. The overwhelming emphasis on divine oneness throughout Islamic scripture reflects its intended role as the cornerstone of faith. This emphasis has led to the development of rich theological traditions that attempted to preserve, define, and defend </w:t>
      </w:r>
      <w:proofErr w:type="spellStart"/>
      <w:r>
        <w:t>Tawhid</w:t>
      </w:r>
      <w:proofErr w:type="spellEnd"/>
      <w:r>
        <w:t xml:space="preserve"> in diverse contexts.</w:t>
      </w:r>
    </w:p>
    <w:p w14:paraId="24226203" w14:textId="77777777" w:rsidR="000A2A35" w:rsidRDefault="000A2A35" w:rsidP="000A2A35"/>
    <w:p w14:paraId="5616D1DF" w14:textId="77777777" w:rsidR="000A2A35" w:rsidRDefault="000A2A35" w:rsidP="000A2A35">
      <w:r>
        <w:t xml:space="preserve">The comparative analysis of classical theological schools reveals that </w:t>
      </w:r>
      <w:proofErr w:type="spellStart"/>
      <w:r>
        <w:t>Tawhid</w:t>
      </w:r>
      <w:proofErr w:type="spellEnd"/>
      <w:r>
        <w:t xml:space="preserve"> was never a monolithic idea. The </w:t>
      </w:r>
      <w:proofErr w:type="spellStart"/>
      <w:r>
        <w:t>Mu’tazilites</w:t>
      </w:r>
      <w:proofErr w:type="spellEnd"/>
      <w:r>
        <w:t xml:space="preserve">, </w:t>
      </w:r>
      <w:proofErr w:type="spellStart"/>
      <w:r>
        <w:t>Ash’arites</w:t>
      </w:r>
      <w:proofErr w:type="spellEnd"/>
      <w:r>
        <w:t xml:space="preserve">, and later the </w:t>
      </w:r>
      <w:proofErr w:type="spellStart"/>
      <w:r>
        <w:t>Maturidites</w:t>
      </w:r>
      <w:proofErr w:type="spellEnd"/>
      <w:r>
        <w:t xml:space="preserve"> contributed significantly to Islamic metaphysics by wrestling with questions about divine attributes, free will, and human responsibility. Their differing perspectives—though sometimes polemical—reflect the vitality and rigor of early Islamic scholarship.</w:t>
      </w:r>
    </w:p>
    <w:p w14:paraId="447E4E79" w14:textId="77777777" w:rsidR="000A2A35" w:rsidRDefault="000A2A35" w:rsidP="000A2A35"/>
    <w:p w14:paraId="3C955877" w14:textId="77777777" w:rsidR="000A2A35" w:rsidRDefault="000A2A35" w:rsidP="000A2A35">
      <w:r>
        <w:t xml:space="preserve">Similarly, the spiritual interpretation of </w:t>
      </w:r>
      <w:proofErr w:type="spellStart"/>
      <w:r>
        <w:t>Tawhid</w:t>
      </w:r>
      <w:proofErr w:type="spellEnd"/>
      <w:r>
        <w:t xml:space="preserve"> in Sufism enriched Islamic theology by introducing an inward dimension. The experiential path toward divine unity, through practices like dhikr and </w:t>
      </w:r>
      <w:proofErr w:type="spellStart"/>
      <w:r>
        <w:t>fana</w:t>
      </w:r>
      <w:proofErr w:type="spellEnd"/>
      <w:r>
        <w:t xml:space="preserve">, emphasized that </w:t>
      </w:r>
      <w:proofErr w:type="spellStart"/>
      <w:r>
        <w:t>Tawhid</w:t>
      </w:r>
      <w:proofErr w:type="spellEnd"/>
      <w:r>
        <w:t xml:space="preserve"> must be not only understood intellectually but lived spiritually. This perspective brought ethical depth and emotional resonance to what might otherwise remain an abstract doctrine.</w:t>
      </w:r>
    </w:p>
    <w:p w14:paraId="486FA545" w14:textId="77777777" w:rsidR="000A2A35" w:rsidRDefault="000A2A35" w:rsidP="000A2A35"/>
    <w:p w14:paraId="7E243250" w14:textId="77777777" w:rsidR="000A2A35" w:rsidRDefault="000A2A35" w:rsidP="000A2A35">
      <w:r>
        <w:t xml:space="preserve">The tripartite framework of Ibn </w:t>
      </w:r>
      <w:proofErr w:type="spellStart"/>
      <w:r>
        <w:t>Taymiyyah</w:t>
      </w:r>
      <w:proofErr w:type="spellEnd"/>
      <w:r>
        <w:t xml:space="preserve"> further contributed to practical theology by clarifying the dimensions of God’s unity. His distinctions helped later reform movements identify theological errors and revive correct forms of belief and worship. However, this framework was also appropriated in rigid or literalist interpretations, sometimes reducing </w:t>
      </w:r>
      <w:proofErr w:type="spellStart"/>
      <w:r>
        <w:t>Tawhid</w:t>
      </w:r>
      <w:proofErr w:type="spellEnd"/>
      <w:r>
        <w:t xml:space="preserve"> to a checklist of orthodoxy rather than a dynamic principle.</w:t>
      </w:r>
    </w:p>
    <w:p w14:paraId="4DAB16A1" w14:textId="77777777" w:rsidR="000A2A35" w:rsidRDefault="000A2A35" w:rsidP="000A2A35"/>
    <w:p w14:paraId="37900A29" w14:textId="77777777" w:rsidR="000A2A35" w:rsidRDefault="000A2A35" w:rsidP="000A2A35">
      <w:r>
        <w:t xml:space="preserve">Modern Islamic thinkers have reasserted </w:t>
      </w:r>
      <w:proofErr w:type="spellStart"/>
      <w:r>
        <w:t>Tawhid’s</w:t>
      </w:r>
      <w:proofErr w:type="spellEnd"/>
      <w:r>
        <w:t xml:space="preserve"> relevance in contemporary times. Figures such as Iqbal and </w:t>
      </w:r>
      <w:proofErr w:type="spellStart"/>
      <w:r>
        <w:t>Qutb</w:t>
      </w:r>
      <w:proofErr w:type="spellEnd"/>
      <w:r>
        <w:t xml:space="preserve"> viewed </w:t>
      </w:r>
      <w:proofErr w:type="spellStart"/>
      <w:r>
        <w:t>Tawhid</w:t>
      </w:r>
      <w:proofErr w:type="spellEnd"/>
      <w:r>
        <w:t xml:space="preserve"> as a unifying force capable of restoring Muslim dignity and purpose in the face of colonialism, secularism, and internal stagnation. Their works illustrate how theological concepts can drive political and social movements when rooted in authentic religious inspiration.</w:t>
      </w:r>
    </w:p>
    <w:p w14:paraId="2BE2A169" w14:textId="77777777" w:rsidR="000A2A35" w:rsidRDefault="000A2A35" w:rsidP="000A2A35"/>
    <w:p w14:paraId="3056FCCE" w14:textId="77777777" w:rsidR="000A2A35" w:rsidRDefault="000A2A35" w:rsidP="000A2A35">
      <w:r>
        <w:t xml:space="preserve">Another significant finding is the relevance of </w:t>
      </w:r>
      <w:proofErr w:type="spellStart"/>
      <w:r>
        <w:t>Tawhid</w:t>
      </w:r>
      <w:proofErr w:type="spellEnd"/>
      <w:r>
        <w:t xml:space="preserve"> in addressing contemporary issues such as environmental ethics, human rights, and global peace. Scholars like Nasr argue that a </w:t>
      </w:r>
      <w:proofErr w:type="spellStart"/>
      <w:r>
        <w:t>Tawhidic</w:t>
      </w:r>
      <w:proofErr w:type="spellEnd"/>
      <w:r>
        <w:t xml:space="preserve"> worldview fosters a holistic understanding of reality—where the divine, human, and natural orders are interconnected. This view contrasts sharply with secular materialism, which isolates the human being from spiritual and cosmic responsibilities.</w:t>
      </w:r>
    </w:p>
    <w:p w14:paraId="142D4581" w14:textId="77777777" w:rsidR="000A2A35" w:rsidRDefault="000A2A35" w:rsidP="000A2A35"/>
    <w:p w14:paraId="232F564D" w14:textId="27D01119" w:rsidR="000A2A35" w:rsidRDefault="000A2A35" w:rsidP="00BA32F4">
      <w:r>
        <w:t xml:space="preserve">Overall, the findings suggest that </w:t>
      </w:r>
      <w:proofErr w:type="spellStart"/>
      <w:r>
        <w:t>Tawhid</w:t>
      </w:r>
      <w:proofErr w:type="spellEnd"/>
      <w:r>
        <w:t xml:space="preserve"> is a profoundly integrative and transformative concept. It fosters unity not only between the believer and God but within the self, society, and the world. As such, </w:t>
      </w:r>
      <w:proofErr w:type="spellStart"/>
      <w:r>
        <w:t>Tawhid</w:t>
      </w:r>
      <w:proofErr w:type="spellEnd"/>
      <w:r>
        <w:t xml:space="preserve"> remains an indispensable key to understanding the essence of Islam and its enduring relevance in addressing the moral and existential crises of the modern world.</w:t>
      </w:r>
    </w:p>
    <w:p w14:paraId="39850013" w14:textId="77777777" w:rsidR="00B12E19" w:rsidRDefault="00B12E19" w:rsidP="00BA32F4"/>
    <w:p w14:paraId="1F05012E" w14:textId="77777777" w:rsidR="00B12E19" w:rsidRDefault="00B12E19" w:rsidP="00BA32F4"/>
    <w:p w14:paraId="2624FBD6" w14:textId="77777777" w:rsidR="00B12E19" w:rsidRDefault="00B12E19" w:rsidP="00BA32F4"/>
    <w:p w14:paraId="25959284" w14:textId="77777777" w:rsidR="00B12E19" w:rsidRDefault="00B12E19" w:rsidP="00BA32F4"/>
    <w:p w14:paraId="29C0EC75" w14:textId="77777777" w:rsidR="00B12E19" w:rsidRDefault="00B12E19" w:rsidP="00BA32F4"/>
    <w:p w14:paraId="3E6B556C" w14:textId="77777777" w:rsidR="00B12E19" w:rsidRDefault="00B12E19" w:rsidP="00BA32F4"/>
    <w:p w14:paraId="6F0FAB89" w14:textId="77777777" w:rsidR="00B12E19" w:rsidRDefault="00B12E19" w:rsidP="00BA32F4"/>
    <w:p w14:paraId="4AB427AB" w14:textId="77777777" w:rsidR="00B12E19" w:rsidRDefault="00B12E19" w:rsidP="00BA32F4"/>
    <w:p w14:paraId="6FD51DBC" w14:textId="77777777" w:rsidR="00B12E19" w:rsidRDefault="00B12E19" w:rsidP="00BA32F4"/>
    <w:p w14:paraId="5AF85CAA" w14:textId="77777777" w:rsidR="00B12E19" w:rsidRDefault="00B12E19" w:rsidP="00BA32F4"/>
    <w:p w14:paraId="14FAC602" w14:textId="77777777" w:rsidR="00B12E19" w:rsidRDefault="00B12E19" w:rsidP="00BA32F4"/>
    <w:p w14:paraId="73CDA66F" w14:textId="77777777" w:rsidR="00B708DF" w:rsidRDefault="00B708DF" w:rsidP="00BA32F4"/>
    <w:p w14:paraId="74E4FD90" w14:textId="77777777" w:rsidR="00B708DF" w:rsidRDefault="00B708DF" w:rsidP="00BA32F4"/>
    <w:p w14:paraId="312AEEEA" w14:textId="77777777" w:rsidR="00B708DF" w:rsidRDefault="00B708DF" w:rsidP="00BA32F4"/>
    <w:p w14:paraId="72190BEA" w14:textId="77777777" w:rsidR="00B708DF" w:rsidRDefault="00B708DF" w:rsidP="00BA32F4"/>
    <w:p w14:paraId="62224418" w14:textId="77777777" w:rsidR="00B708DF" w:rsidRDefault="00B708DF" w:rsidP="00BA32F4"/>
    <w:p w14:paraId="6E317E74" w14:textId="77777777" w:rsidR="00410530" w:rsidRDefault="00410530" w:rsidP="00410530">
      <w:r>
        <w:t>Conclusion</w:t>
      </w:r>
    </w:p>
    <w:p w14:paraId="7BCD0978" w14:textId="77777777" w:rsidR="00410530" w:rsidRDefault="00410530" w:rsidP="00410530"/>
    <w:p w14:paraId="03F13F00" w14:textId="77777777" w:rsidR="00410530" w:rsidRDefault="00410530" w:rsidP="00410530">
      <w:r>
        <w:t xml:space="preserve">This study has explored the profound significance of </w:t>
      </w:r>
      <w:proofErr w:type="spellStart"/>
      <w:r>
        <w:t>Tawhid</w:t>
      </w:r>
      <w:proofErr w:type="spellEnd"/>
      <w:r>
        <w:t xml:space="preserve">, the central doctrine of monotheism in Islam, and its foundational role in shaping Islamic theology, spirituality, and civilization. From its roots in the Qur’anic revelation to its development through classical theological debates, mystical experiences, and modern reinterpretations, </w:t>
      </w:r>
      <w:proofErr w:type="spellStart"/>
      <w:r>
        <w:t>Tawhid</w:t>
      </w:r>
      <w:proofErr w:type="spellEnd"/>
      <w:r>
        <w:t xml:space="preserve"> has remained a unifying and dynamic force across Islamic history.</w:t>
      </w:r>
    </w:p>
    <w:p w14:paraId="590AA6F5" w14:textId="77777777" w:rsidR="00410530" w:rsidRDefault="00410530" w:rsidP="00410530"/>
    <w:p w14:paraId="08B3FB8B" w14:textId="77777777" w:rsidR="00410530" w:rsidRDefault="00410530" w:rsidP="00410530">
      <w:r>
        <w:t xml:space="preserve">One of the core insights of this research is the recognition that </w:t>
      </w:r>
      <w:proofErr w:type="spellStart"/>
      <w:r>
        <w:t>Tawhid</w:t>
      </w:r>
      <w:proofErr w:type="spellEnd"/>
      <w:r>
        <w:t xml:space="preserve"> is not merely a theological abstraction but a lived principle that governs all aspects of a Muslim’s existence. Whether manifested in the precise definitions of divine attributes by the </w:t>
      </w:r>
      <w:proofErr w:type="spellStart"/>
      <w:r>
        <w:t>Mu’tazilites</w:t>
      </w:r>
      <w:proofErr w:type="spellEnd"/>
      <w:r>
        <w:t xml:space="preserve"> and </w:t>
      </w:r>
      <w:proofErr w:type="spellStart"/>
      <w:r>
        <w:t>Ash’arites</w:t>
      </w:r>
      <w:proofErr w:type="spellEnd"/>
      <w:r>
        <w:t xml:space="preserve">, the experiential devotion of the Sufis, or the reformist zeal of modern thinkers, </w:t>
      </w:r>
      <w:proofErr w:type="spellStart"/>
      <w:r>
        <w:t>Tawhid</w:t>
      </w:r>
      <w:proofErr w:type="spellEnd"/>
      <w:r>
        <w:t xml:space="preserve"> has served as both a compass and a catalyst. It reorients human consciousness toward the divine, redefines ethical responsibility, and provides a holistic vision of reality in which all creation is ultimately dependent on and accountable to a single, sovereign God.</w:t>
      </w:r>
    </w:p>
    <w:p w14:paraId="7BC5C49B" w14:textId="77777777" w:rsidR="00410530" w:rsidRDefault="00410530" w:rsidP="00410530"/>
    <w:p w14:paraId="6D146897" w14:textId="77777777" w:rsidR="00410530" w:rsidRDefault="00410530" w:rsidP="00410530">
      <w:r>
        <w:t xml:space="preserve">The study also highlights the adaptability and enduring relevance of </w:t>
      </w:r>
      <w:proofErr w:type="spellStart"/>
      <w:r>
        <w:t>Tawhid</w:t>
      </w:r>
      <w:proofErr w:type="spellEnd"/>
      <w:r>
        <w:t xml:space="preserve"> in addressing contemporary challenges. In an age marked by ideological fragmentation, moral relativism, and ecological crisis, the </w:t>
      </w:r>
      <w:proofErr w:type="spellStart"/>
      <w:r>
        <w:t>Tawhidic</w:t>
      </w:r>
      <w:proofErr w:type="spellEnd"/>
      <w:r>
        <w:t xml:space="preserve"> worldview offers a coherent and integrative framework for spiritual renewal, social justice, and environmental stewardship. It reaffirms the sacred unity of existence and calls for harmony between the human soul, society, and the divine order.</w:t>
      </w:r>
    </w:p>
    <w:p w14:paraId="42FD537B" w14:textId="77777777" w:rsidR="00410530" w:rsidRDefault="00410530" w:rsidP="00410530"/>
    <w:p w14:paraId="0B785B72" w14:textId="77777777" w:rsidR="00410530" w:rsidRDefault="00410530" w:rsidP="00410530">
      <w:r>
        <w:t xml:space="preserve">Furthermore, the diversity of interpretations surrounding </w:t>
      </w:r>
      <w:proofErr w:type="spellStart"/>
      <w:r>
        <w:t>Tawhid</w:t>
      </w:r>
      <w:proofErr w:type="spellEnd"/>
      <w:r>
        <w:t>—from theological schools to spiritual paths—illustrates the richness and pluralism within Islamic thought. Far from being a point of division, these perspectives testify to the depth of engagement Muslims have had with the concept of God’s oneness. This pluralism, when approached with mutual respect and intellectual honesty, can contribute to greater intra-faith understanding and unity.</w:t>
      </w:r>
    </w:p>
    <w:p w14:paraId="2358DC03" w14:textId="77777777" w:rsidR="00410530" w:rsidRDefault="00410530" w:rsidP="00410530"/>
    <w:p w14:paraId="565D1CF7" w14:textId="22FD3064" w:rsidR="00B708DF" w:rsidRDefault="00410530" w:rsidP="00BA32F4">
      <w:r>
        <w:t xml:space="preserve">In conclusion, </w:t>
      </w:r>
      <w:proofErr w:type="spellStart"/>
      <w:r>
        <w:t>Tawhid</w:t>
      </w:r>
      <w:proofErr w:type="spellEnd"/>
      <w:r>
        <w:t xml:space="preserve"> is not only the cornerstone of Islamic belief but also a transformative vision that speaks to the heart of human purpose and destiny. By affirming the oneness of God, it invites believers to cultivate inner unity, societal justice, and universal harmony—values that are urgently needed in today’s world. As both a timeless truth and a living force, </w:t>
      </w:r>
      <w:proofErr w:type="spellStart"/>
      <w:r>
        <w:t>Tawhid</w:t>
      </w:r>
      <w:proofErr w:type="spellEnd"/>
      <w:r>
        <w:t xml:space="preserve"> continues to inspire, guide, and empower the Islamic faith and its followers across generations and geographies.</w:t>
      </w:r>
    </w:p>
    <w:p w14:paraId="45E4CE35" w14:textId="77777777" w:rsidR="00410530" w:rsidRDefault="00410530" w:rsidP="00BA32F4"/>
    <w:p w14:paraId="0417A2F1" w14:textId="77777777" w:rsidR="00410530" w:rsidRDefault="00410530" w:rsidP="00BA32F4"/>
    <w:p w14:paraId="413A45C0" w14:textId="77777777" w:rsidR="00410530" w:rsidRDefault="00410530" w:rsidP="00BA32F4"/>
    <w:p w14:paraId="5E005D5A" w14:textId="77777777" w:rsidR="00410530" w:rsidRDefault="00410530" w:rsidP="00BA32F4"/>
    <w:p w14:paraId="56622EA9" w14:textId="77777777" w:rsidR="00410530" w:rsidRDefault="00410530" w:rsidP="00BA32F4"/>
    <w:p w14:paraId="4374C90E" w14:textId="77777777" w:rsidR="00410530" w:rsidRDefault="00410530" w:rsidP="00BA32F4"/>
    <w:p w14:paraId="4E6A47B7" w14:textId="77777777" w:rsidR="00410530" w:rsidRDefault="00410530" w:rsidP="00BA32F4"/>
    <w:p w14:paraId="76AD296B" w14:textId="77777777" w:rsidR="00410530" w:rsidRDefault="00410530" w:rsidP="00BA32F4"/>
    <w:p w14:paraId="615CD2F0" w14:textId="77777777" w:rsidR="00410530" w:rsidRDefault="00410530" w:rsidP="00BA32F4"/>
    <w:p w14:paraId="663E3939" w14:textId="77777777" w:rsidR="00410530" w:rsidRDefault="00410530" w:rsidP="00BA32F4"/>
    <w:p w14:paraId="614F2C3F" w14:textId="77777777" w:rsidR="00410530" w:rsidRDefault="00410530" w:rsidP="00BA32F4"/>
    <w:p w14:paraId="025F56FF" w14:textId="77777777" w:rsidR="00B263D8" w:rsidRPr="006D640D" w:rsidRDefault="00B263D8" w:rsidP="00B263D8">
      <w:pPr>
        <w:rPr>
          <w:b/>
          <w:bCs/>
          <w:i/>
          <w:iCs/>
        </w:rPr>
      </w:pPr>
      <w:r w:rsidRPr="006D640D">
        <w:rPr>
          <w:b/>
          <w:bCs/>
          <w:i/>
          <w:iCs/>
        </w:rPr>
        <w:t>References</w:t>
      </w:r>
    </w:p>
    <w:p w14:paraId="1E99232B" w14:textId="77777777" w:rsidR="00B263D8" w:rsidRDefault="00B263D8" w:rsidP="00B263D8"/>
    <w:p w14:paraId="2C2E7715" w14:textId="313DF9C7" w:rsidR="00B263D8" w:rsidRDefault="00B263D8" w:rsidP="00B263D8">
      <w:r>
        <w:t>1. Abdel Haleem, M. A. S. (2004). The Qur'an: A New Translation. Oxford University Press.</w:t>
      </w:r>
    </w:p>
    <w:p w14:paraId="323FA90F" w14:textId="01C8F16C" w:rsidR="00B263D8" w:rsidRDefault="00B263D8" w:rsidP="00B263D8">
      <w:r>
        <w:t>2. Al-</w:t>
      </w:r>
      <w:proofErr w:type="spellStart"/>
      <w:r>
        <w:t>Ash’ari</w:t>
      </w:r>
      <w:proofErr w:type="spellEnd"/>
      <w:r>
        <w:t>, Abu al-Hasan. (1990). The Theology of al-</w:t>
      </w:r>
      <w:proofErr w:type="spellStart"/>
      <w:r>
        <w:t>Ash’ari</w:t>
      </w:r>
      <w:proofErr w:type="spellEnd"/>
      <w:r>
        <w:t>. Translated by Richard M. Frank. Brill.</w:t>
      </w:r>
    </w:p>
    <w:p w14:paraId="603F0DC2" w14:textId="37E4032D" w:rsidR="00B263D8" w:rsidRDefault="00B263D8" w:rsidP="00B263D8">
      <w:r>
        <w:t>3. Al-</w:t>
      </w:r>
      <w:proofErr w:type="spellStart"/>
      <w:r>
        <w:t>Ghazali</w:t>
      </w:r>
      <w:proofErr w:type="spellEnd"/>
      <w:r>
        <w:t>, Abu Hamid. (2002). The Ninety-Nine Beautiful Names of God. Islamic Texts Society.</w:t>
      </w:r>
    </w:p>
    <w:p w14:paraId="6CBCBB68" w14:textId="7D9692F5" w:rsidR="00B263D8" w:rsidRDefault="00B263D8" w:rsidP="00B263D8">
      <w:r>
        <w:t xml:space="preserve">4. Ibn </w:t>
      </w:r>
      <w:proofErr w:type="spellStart"/>
      <w:r>
        <w:t>Taymiyyah</w:t>
      </w:r>
      <w:proofErr w:type="spellEnd"/>
      <w:r>
        <w:t xml:space="preserve">. (2000). The Book of </w:t>
      </w:r>
      <w:proofErr w:type="spellStart"/>
      <w:r>
        <w:t>Tawheed</w:t>
      </w:r>
      <w:proofErr w:type="spellEnd"/>
      <w:r>
        <w:t>. Dar-us-Salam.</w:t>
      </w:r>
    </w:p>
    <w:p w14:paraId="49ACCE5F" w14:textId="5CC89DF6" w:rsidR="00B263D8" w:rsidRDefault="00B263D8" w:rsidP="00B263D8">
      <w:r>
        <w:t xml:space="preserve">5. Nasr, </w:t>
      </w:r>
      <w:proofErr w:type="spellStart"/>
      <w:r>
        <w:t>Seyyed</w:t>
      </w:r>
      <w:proofErr w:type="spellEnd"/>
      <w:r>
        <w:t xml:space="preserve"> Hossein. (2006). The Heart of Islam: Enduring Values for Humanity. </w:t>
      </w:r>
      <w:proofErr w:type="spellStart"/>
      <w:r>
        <w:t>HarperOne</w:t>
      </w:r>
      <w:proofErr w:type="spellEnd"/>
      <w:r>
        <w:t>.</w:t>
      </w:r>
    </w:p>
    <w:p w14:paraId="41A036B5" w14:textId="2C8A46B0" w:rsidR="00B263D8" w:rsidRDefault="00B263D8" w:rsidP="00B263D8">
      <w:r>
        <w:t xml:space="preserve">6. </w:t>
      </w:r>
      <w:proofErr w:type="spellStart"/>
      <w:r>
        <w:t>Qutb</w:t>
      </w:r>
      <w:proofErr w:type="spellEnd"/>
      <w:r>
        <w:t xml:space="preserve">, </w:t>
      </w:r>
      <w:proofErr w:type="spellStart"/>
      <w:r>
        <w:t>Sayyid</w:t>
      </w:r>
      <w:proofErr w:type="spellEnd"/>
      <w:r>
        <w:t>. (2000). Milestones. Islamic Book Service.</w:t>
      </w:r>
    </w:p>
    <w:p w14:paraId="44EB8FF1" w14:textId="2E7788BD" w:rsidR="00B263D8" w:rsidRDefault="00B263D8" w:rsidP="00B263D8">
      <w:r>
        <w:t xml:space="preserve">7. Rahman, </w:t>
      </w:r>
      <w:proofErr w:type="spellStart"/>
      <w:r>
        <w:t>Fazlur</w:t>
      </w:r>
      <w:proofErr w:type="spellEnd"/>
      <w:r>
        <w:t>. (1982). Islam and Modernity: Transformation of an Intellectual Tradition. University of Chicago Press.</w:t>
      </w:r>
    </w:p>
    <w:p w14:paraId="443F7C03" w14:textId="2059B592" w:rsidR="00B263D8" w:rsidRDefault="00B263D8" w:rsidP="00B263D8">
      <w:r>
        <w:t>8. Sells, Michael. (1999). Approaching the Qur'an: The Early Revelations. White Cloud Press.</w:t>
      </w:r>
    </w:p>
    <w:p w14:paraId="183787B9" w14:textId="3B3E782E" w:rsidR="00B263D8" w:rsidRDefault="00B263D8" w:rsidP="00B263D8">
      <w:r>
        <w:t>9. Watt, W. Montgomery. (1995). Islamic Philosophy and Theology. Edinburgh University Press.</w:t>
      </w:r>
    </w:p>
    <w:p w14:paraId="5EF44512" w14:textId="06914882" w:rsidR="00B263D8" w:rsidRDefault="00B263D8" w:rsidP="00B263D8">
      <w:r>
        <w:t>10. Winter, T. J. (Ed.). (2008). The Cambridge Companion to Classical Islamic Theology. Cambridge University Press.</w:t>
      </w:r>
    </w:p>
    <w:p w14:paraId="3A0C25FD" w14:textId="1E3C7828" w:rsidR="00B263D8" w:rsidRDefault="00B263D8" w:rsidP="00B263D8">
      <w:r>
        <w:t>11. Esposito, John L. (2002). What Everyone Needs to Know About Islam. Oxford University Press.</w:t>
      </w:r>
    </w:p>
    <w:p w14:paraId="7C449155" w14:textId="2DCA2E5C" w:rsidR="00B263D8" w:rsidRDefault="00B263D8" w:rsidP="00B263D8">
      <w:r>
        <w:t xml:space="preserve">12. </w:t>
      </w:r>
      <w:proofErr w:type="spellStart"/>
      <w:r>
        <w:t>Izutsu</w:t>
      </w:r>
      <w:proofErr w:type="spellEnd"/>
      <w:r>
        <w:t xml:space="preserve">, Toshihiko. (2002). God and Man in the Qur'an: Semantics of the Qur'anic </w:t>
      </w:r>
      <w:proofErr w:type="spellStart"/>
      <w:r>
        <w:t>Weltanschauung</w:t>
      </w:r>
      <w:proofErr w:type="spellEnd"/>
      <w:r>
        <w:t>. Islamic Book Trust</w:t>
      </w:r>
      <w:r w:rsidR="00883FCD">
        <w:t>.</w:t>
      </w:r>
    </w:p>
    <w:p w14:paraId="7408BB69" w14:textId="3A0415A1" w:rsidR="00B263D8" w:rsidRDefault="00B263D8" w:rsidP="00B263D8">
      <w:r>
        <w:t xml:space="preserve">13. </w:t>
      </w:r>
      <w:proofErr w:type="spellStart"/>
      <w:r>
        <w:t>Chittick</w:t>
      </w:r>
      <w:proofErr w:type="spellEnd"/>
      <w:r>
        <w:t xml:space="preserve">, William C. (2000). Sufism: A Short Introduction. </w:t>
      </w:r>
      <w:proofErr w:type="spellStart"/>
      <w:r>
        <w:t>Oneworld</w:t>
      </w:r>
      <w:proofErr w:type="spellEnd"/>
      <w:r>
        <w:t xml:space="preserve"> Publications.</w:t>
      </w:r>
    </w:p>
    <w:p w14:paraId="7344A470" w14:textId="458626C4" w:rsidR="00B263D8" w:rsidRDefault="00B263D8" w:rsidP="00B263D8">
      <w:r>
        <w:t xml:space="preserve">14. </w:t>
      </w:r>
      <w:proofErr w:type="spellStart"/>
      <w:r>
        <w:t>Kamali</w:t>
      </w:r>
      <w:proofErr w:type="spellEnd"/>
      <w:r>
        <w:t xml:space="preserve">, Mohammad </w:t>
      </w:r>
      <w:proofErr w:type="spellStart"/>
      <w:r>
        <w:t>Hashim</w:t>
      </w:r>
      <w:proofErr w:type="spellEnd"/>
      <w:r>
        <w:t xml:space="preserve">. (2008). </w:t>
      </w:r>
      <w:proofErr w:type="spellStart"/>
      <w:r>
        <w:t>Shari’ah</w:t>
      </w:r>
      <w:proofErr w:type="spellEnd"/>
      <w:r>
        <w:t xml:space="preserve"> Law: An Introduction. </w:t>
      </w:r>
      <w:proofErr w:type="spellStart"/>
      <w:r>
        <w:t>Oneworld</w:t>
      </w:r>
      <w:proofErr w:type="spellEnd"/>
      <w:r>
        <w:t xml:space="preserve"> Publications.</w:t>
      </w:r>
    </w:p>
    <w:p w14:paraId="35201925" w14:textId="2B6562BC" w:rsidR="00410530" w:rsidRDefault="00B263D8" w:rsidP="00BA32F4">
      <w:r>
        <w:t>15. Al-</w:t>
      </w:r>
      <w:proofErr w:type="spellStart"/>
      <w:r>
        <w:t>Faruqi</w:t>
      </w:r>
      <w:proofErr w:type="spellEnd"/>
      <w:r>
        <w:t xml:space="preserve">, Ismail </w:t>
      </w:r>
      <w:proofErr w:type="spellStart"/>
      <w:r>
        <w:t>Raji</w:t>
      </w:r>
      <w:proofErr w:type="spellEnd"/>
      <w:r>
        <w:t>. (1992). Al-</w:t>
      </w:r>
      <w:proofErr w:type="spellStart"/>
      <w:r>
        <w:t>Tawhid</w:t>
      </w:r>
      <w:proofErr w:type="spellEnd"/>
      <w:r>
        <w:t>: Its Implications for Thought and Life. International Institute of Islamic Thought (IIIT).</w:t>
      </w:r>
    </w:p>
    <w:p w14:paraId="1991F33C" w14:textId="77777777" w:rsidR="00B263D8" w:rsidRDefault="00B263D8" w:rsidP="00BA32F4"/>
    <w:p w14:paraId="4D42CFD3" w14:textId="77777777" w:rsidR="00B263D8" w:rsidRDefault="00B263D8" w:rsidP="00BA32F4"/>
    <w:p w14:paraId="7F5F2976" w14:textId="77777777" w:rsidR="00B263D8" w:rsidRDefault="00B263D8" w:rsidP="00BA32F4"/>
    <w:p w14:paraId="5DCC410B" w14:textId="77777777" w:rsidR="00B263D8" w:rsidRDefault="00B263D8" w:rsidP="00BA32F4"/>
    <w:p w14:paraId="078A30AA" w14:textId="77777777" w:rsidR="00B263D8" w:rsidRDefault="00B263D8" w:rsidP="00BA32F4"/>
    <w:p w14:paraId="65410511" w14:textId="77777777" w:rsidR="00B263D8" w:rsidRDefault="00B263D8" w:rsidP="00BA32F4"/>
    <w:p w14:paraId="3873301A" w14:textId="77777777" w:rsidR="00410530" w:rsidRDefault="00410530" w:rsidP="00BA32F4"/>
    <w:p w14:paraId="1645D947" w14:textId="77777777" w:rsidR="00410530" w:rsidRDefault="00410530" w:rsidP="00BA32F4"/>
    <w:p w14:paraId="5E4BC774" w14:textId="77777777" w:rsidR="00410530" w:rsidRDefault="00410530" w:rsidP="00BA32F4"/>
    <w:p w14:paraId="53F4964A" w14:textId="77777777" w:rsidR="00B708DF" w:rsidRDefault="00B708DF" w:rsidP="00BA32F4"/>
    <w:p w14:paraId="6725EDAE" w14:textId="77777777" w:rsidR="00B708DF" w:rsidRDefault="00B708DF" w:rsidP="00BA32F4"/>
    <w:p w14:paraId="34796BB6" w14:textId="77777777" w:rsidR="00B12E19" w:rsidRDefault="00B12E19" w:rsidP="00BA32F4"/>
    <w:p w14:paraId="4A352A58" w14:textId="77777777" w:rsidR="000A2A35" w:rsidRDefault="000A2A35" w:rsidP="00BA32F4"/>
    <w:p w14:paraId="2A6C593C" w14:textId="77777777" w:rsidR="000A2A35" w:rsidRDefault="000A2A35" w:rsidP="00BA32F4"/>
    <w:p w14:paraId="72CC42A4" w14:textId="77777777" w:rsidR="000D7F9C" w:rsidRDefault="000D7F9C" w:rsidP="00BA32F4"/>
    <w:p w14:paraId="35840872" w14:textId="77777777" w:rsidR="000D7F9C" w:rsidRDefault="000D7F9C" w:rsidP="00BA32F4"/>
    <w:p w14:paraId="5BF75650" w14:textId="77777777" w:rsidR="000D7F9C" w:rsidRDefault="000D7F9C" w:rsidP="00BA32F4"/>
    <w:p w14:paraId="1C8A1504" w14:textId="77777777" w:rsidR="000D7F9C" w:rsidRDefault="000D7F9C" w:rsidP="00BA32F4"/>
    <w:p w14:paraId="6E32A9E1" w14:textId="77777777" w:rsidR="000D7F9C" w:rsidRDefault="000D7F9C" w:rsidP="00BA32F4"/>
    <w:p w14:paraId="6BD3F2D5" w14:textId="77777777" w:rsidR="000D7F9C" w:rsidRDefault="000D7F9C" w:rsidP="00BA32F4"/>
    <w:p w14:paraId="54CE794B" w14:textId="77777777" w:rsidR="000D7F9C" w:rsidRDefault="000D7F9C" w:rsidP="00BA32F4"/>
    <w:p w14:paraId="7DE3A8EF" w14:textId="77777777" w:rsidR="003D2C48" w:rsidRDefault="003D2C48" w:rsidP="00BA32F4"/>
    <w:p w14:paraId="7CF2DA95" w14:textId="77777777" w:rsidR="003D2C48" w:rsidRDefault="003D2C48" w:rsidP="00BA32F4"/>
    <w:p w14:paraId="41AA152E" w14:textId="77777777" w:rsidR="003D2C48" w:rsidRDefault="003D2C48" w:rsidP="00BA32F4"/>
    <w:p w14:paraId="634E5D6D" w14:textId="77777777" w:rsidR="007C389A" w:rsidRDefault="007C389A" w:rsidP="00BA32F4"/>
    <w:p w14:paraId="036B29A0" w14:textId="77777777" w:rsidR="007C389A" w:rsidRDefault="007C389A" w:rsidP="00BA32F4"/>
    <w:p w14:paraId="4D6A45A9" w14:textId="77777777" w:rsidR="007C389A" w:rsidRDefault="007C389A" w:rsidP="00BA32F4"/>
    <w:p w14:paraId="59628838" w14:textId="77777777" w:rsidR="007C389A" w:rsidRDefault="007C389A" w:rsidP="00BA32F4"/>
    <w:p w14:paraId="0102F0D7" w14:textId="77777777" w:rsidR="007C389A" w:rsidRDefault="007C389A" w:rsidP="00BA32F4"/>
    <w:p w14:paraId="2D9E693F" w14:textId="77777777" w:rsidR="00DF53BC" w:rsidRDefault="00DF53BC" w:rsidP="00BA32F4"/>
    <w:sectPr w:rsidR="00DF53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2F4"/>
    <w:rsid w:val="0009749D"/>
    <w:rsid w:val="000A2A35"/>
    <w:rsid w:val="000D7F9C"/>
    <w:rsid w:val="00194ECF"/>
    <w:rsid w:val="001D08CB"/>
    <w:rsid w:val="0020161B"/>
    <w:rsid w:val="0020219B"/>
    <w:rsid w:val="003D2C48"/>
    <w:rsid w:val="00410530"/>
    <w:rsid w:val="00427227"/>
    <w:rsid w:val="005F66D7"/>
    <w:rsid w:val="00612BC4"/>
    <w:rsid w:val="006B7280"/>
    <w:rsid w:val="006D640D"/>
    <w:rsid w:val="00774D6B"/>
    <w:rsid w:val="007C389A"/>
    <w:rsid w:val="007C3EE7"/>
    <w:rsid w:val="008425CB"/>
    <w:rsid w:val="00883FCD"/>
    <w:rsid w:val="00975489"/>
    <w:rsid w:val="00B12E19"/>
    <w:rsid w:val="00B263D8"/>
    <w:rsid w:val="00B708DF"/>
    <w:rsid w:val="00BA32F4"/>
    <w:rsid w:val="00D230B4"/>
    <w:rsid w:val="00DA7C92"/>
    <w:rsid w:val="00DF53BC"/>
    <w:rsid w:val="00E47FDB"/>
    <w:rsid w:val="00E663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96F6720"/>
  <w15:chartTrackingRefBased/>
  <w15:docId w15:val="{778C9E9C-6B97-1242-9166-F6399FEC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2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32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32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32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32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32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2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2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2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2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32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32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32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32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32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2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2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2F4"/>
    <w:rPr>
      <w:rFonts w:eastAsiaTheme="majorEastAsia" w:cstheme="majorBidi"/>
      <w:color w:val="272727" w:themeColor="text1" w:themeTint="D8"/>
    </w:rPr>
  </w:style>
  <w:style w:type="paragraph" w:styleId="Title">
    <w:name w:val="Title"/>
    <w:basedOn w:val="Normal"/>
    <w:next w:val="Normal"/>
    <w:link w:val="TitleChar"/>
    <w:uiPriority w:val="10"/>
    <w:qFormat/>
    <w:rsid w:val="00BA32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2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2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2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2F4"/>
    <w:pPr>
      <w:spacing w:before="160"/>
      <w:jc w:val="center"/>
    </w:pPr>
    <w:rPr>
      <w:i/>
      <w:iCs/>
      <w:color w:val="404040" w:themeColor="text1" w:themeTint="BF"/>
    </w:rPr>
  </w:style>
  <w:style w:type="character" w:customStyle="1" w:styleId="QuoteChar">
    <w:name w:val="Quote Char"/>
    <w:basedOn w:val="DefaultParagraphFont"/>
    <w:link w:val="Quote"/>
    <w:uiPriority w:val="29"/>
    <w:rsid w:val="00BA32F4"/>
    <w:rPr>
      <w:i/>
      <w:iCs/>
      <w:color w:val="404040" w:themeColor="text1" w:themeTint="BF"/>
    </w:rPr>
  </w:style>
  <w:style w:type="paragraph" w:styleId="ListParagraph">
    <w:name w:val="List Paragraph"/>
    <w:basedOn w:val="Normal"/>
    <w:uiPriority w:val="34"/>
    <w:qFormat/>
    <w:rsid w:val="00BA32F4"/>
    <w:pPr>
      <w:ind w:left="720"/>
      <w:contextualSpacing/>
    </w:pPr>
  </w:style>
  <w:style w:type="character" w:styleId="IntenseEmphasis">
    <w:name w:val="Intense Emphasis"/>
    <w:basedOn w:val="DefaultParagraphFont"/>
    <w:uiPriority w:val="21"/>
    <w:qFormat/>
    <w:rsid w:val="00BA32F4"/>
    <w:rPr>
      <w:i/>
      <w:iCs/>
      <w:color w:val="0F4761" w:themeColor="accent1" w:themeShade="BF"/>
    </w:rPr>
  </w:style>
  <w:style w:type="paragraph" w:styleId="IntenseQuote">
    <w:name w:val="Intense Quote"/>
    <w:basedOn w:val="Normal"/>
    <w:next w:val="Normal"/>
    <w:link w:val="IntenseQuoteChar"/>
    <w:uiPriority w:val="30"/>
    <w:qFormat/>
    <w:rsid w:val="00BA32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32F4"/>
    <w:rPr>
      <w:i/>
      <w:iCs/>
      <w:color w:val="0F4761" w:themeColor="accent1" w:themeShade="BF"/>
    </w:rPr>
  </w:style>
  <w:style w:type="character" w:styleId="IntenseReference">
    <w:name w:val="Intense Reference"/>
    <w:basedOn w:val="DefaultParagraphFont"/>
    <w:uiPriority w:val="32"/>
    <w:qFormat/>
    <w:rsid w:val="00BA32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1225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4499</Words>
  <Characters>25650</Characters>
  <Application>Microsoft Office Word</Application>
  <DocSecurity>0</DocSecurity>
  <Lines>213</Lines>
  <Paragraphs>60</Paragraphs>
  <ScaleCrop>false</ScaleCrop>
  <Company/>
  <LinksUpToDate>false</LinksUpToDate>
  <CharactersWithSpaces>30089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Imtiyaz Ahmad Batti</dc:creator>
  <cp:keywords/>
  <dc:description/>
  <cp:lastModifiedBy>Imtiyaz Ahmad Batti</cp:lastModifiedBy>
  <cp:revision>2</cp:revision>
  <dcterms:created xsi:type="dcterms:W3CDTF">2025-07-17T09:26:00Z</dcterms:created>
  <dcterms:modified xsi:type="dcterms:W3CDTF">2025-07-17T09:26:00Z</dcterms:modified>
</cp:coreProperties>
</file>