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D6969" w14:textId="77777777" w:rsidR="004044AF" w:rsidRDefault="00000000">
      <w:pPr>
        <w:spacing w:after="60"/>
      </w:pPr>
      <w:r>
        <w:rPr>
          <w:rFonts w:ascii="Cormorant Garamond" w:eastAsia="Cormorant Garamond" w:hAnsi="Cormorant Garamond" w:cs="Cormorant Garamond"/>
          <w:b/>
          <w:bCs/>
          <w:color w:val="0D2B36"/>
          <w:sz w:val="52"/>
          <w:szCs w:val="52"/>
        </w:rPr>
        <w:t>FEE PAYMENT</w:t>
      </w:r>
    </w:p>
    <w:p w14:paraId="6531BB95" w14:textId="77777777" w:rsidR="004044AF" w:rsidRDefault="00000000">
      <w:pPr>
        <w:spacing w:after="200"/>
      </w:pPr>
      <w:r>
        <w:rPr>
          <w:rFonts w:ascii="Cormorant Garamond" w:eastAsia="Cormorant Garamond" w:hAnsi="Cormorant Garamond" w:cs="Cormorant Garamond"/>
          <w:b/>
          <w:bCs/>
          <w:color w:val="0C5C52"/>
          <w:sz w:val="52"/>
          <w:szCs w:val="52"/>
        </w:rPr>
        <w:t>PRICING POLICY</w:t>
      </w:r>
    </w:p>
    <w:p w14:paraId="3FF6262F" w14:textId="77777777" w:rsidR="004044AF" w:rsidRDefault="00000000">
      <w:pPr>
        <w:pBdr>
          <w:bottom w:val="single" w:sz="18" w:space="10" w:color="3A9E91"/>
        </w:pBdr>
        <w:spacing w:after="240"/>
      </w:pPr>
      <w:r>
        <w:rPr>
          <w:rFonts w:ascii="DM Sans" w:eastAsia="DM Sans" w:hAnsi="DM Sans" w:cs="DM Sans"/>
          <w:i/>
          <w:iCs/>
          <w:color w:val="5B6B6E"/>
        </w:rPr>
        <w:t xml:space="preserve">[Firm Name]  ·  Version 1.0 (template)  ·  Effective date: TBC  ·  Owner: [Principal Name]</w:t>
      </w:r>
    </w:p>
    <w:p w14:paraId="3FF62630" w:rsidR="004044AF" w:rsidRDefault="00000000">
      <w:pPr>
        <w:pBdr>
          <w:left w:val="single" w:sz="24" w:space="10" w:color="0D2B36"/>
        </w:pBdr>
        <w:spacing w:before="160" w:after="280"/>
        <w:ind w:left="220"/>
      </w:pPr>
      <w:r>
        <w:rPr>
          <w:rFonts w:ascii="Cormorant Garamond" w:eastAsia="Cormorant Garamond" w:hAnsi="Cormorant Garamond" w:cs="Cormorant Garamond"/>
          <w:i/>
          <w:iCs/>
          <w:color w:val="0D2B36"/>
          <w:sz w:val="25"/>
          <w:szCs w:val="25"/>
        </w:rPr>
        <w:t>This policy is a filter as much as a schedule. How a prospective client responds to these terms is often the clearest information the firm gets before it's done a single hour of work.</w:t>
      </w:r>
    </w:p>
    <w:p w14:paraId="6123B7DB" w14:textId="77777777" w:rsidR="004044AF" w:rsidRDefault="00000000">
      <w:pPr>
        <w:pBdr>
          <w:bottom w:val="single" w:sz="12" w:space="4" w:color="0C5C52"/>
        </w:pBdr>
        <w:spacing w:before="400" w:after="200"/>
      </w:pPr>
      <w:r>
        <w:rPr>
          <w:rFonts w:ascii="Cormorant Garamond" w:eastAsia="Cormorant Garamond" w:hAnsi="Cormorant Garamond" w:cs="Cormorant Garamond"/>
          <w:b/>
          <w:bCs/>
          <w:color w:val="0D2B36"/>
          <w:sz w:val="26"/>
          <w:szCs w:val="26"/>
        </w:rPr>
        <w:t>1. PURPOSE</w:t>
      </w:r>
    </w:p>
    <w:p w14:paraId="32514425" w14:textId="77777777" w:rsidR="004044AF" w:rsidRDefault="00000000">
      <w:pPr>
        <w:spacing w:after="160" w:line="300" w:lineRule="auto"/>
      </w:pPr>
      <w:r>
        <w:rPr>
          <w:rFonts w:ascii="DM Sans" w:eastAsia="DM Sans" w:hAnsi="DM Sans" w:cs="DM Sans"/>
          <w:color w:val="1A1A1A"/>
          <w:sz w:val="21"/>
          <w:szCs w:val="21"/>
        </w:rPr>
        <w:t>This policy sets the firm's standard approach to charging and collecting legal fees across the life of a matter. It ensures fees are billed in step with work performed, protects the firm's cash flow and work in progress position, and gives clients clarity up front about how and when they will be asked to pay.</w:t>
      </w:r>
    </w:p>
    <w:p w14:paraId="72B01561" w14:textId="5EDDAD86" w:rsidR="004044AF" w:rsidRDefault="00000000">
      <w:pPr>
        <w:spacing w:after="160" w:line="300" w:lineRule="auto"/>
      </w:pPr>
      <w:r>
        <w:rPr>
          <w:rFonts w:ascii="DM Sans" w:eastAsia="DM Sans" w:hAnsi="DM Sans" w:cs="DM Sans"/>
          <w:color w:val="1A1A1A"/>
          <w:sz w:val="21"/>
          <w:szCs w:val="21"/>
        </w:rPr>
        <w:t xml:space="preserve">The payment structure is also a filter: clients unable or unwilling to meet these terms are a credit risk signal that should inform the retainer decision, not just the billing schedule.</w:t>
      </w:r>
    </w:p>
    <w:p w14:paraId="72B01562" w14:textId="5EDDAD87" w:rsidR="004044AF" w:rsidRDefault="00000000">
      <w:pPr>
        <w:spacing w:after="160" w:line="300" w:lineRule="auto"/>
      </w:pPr>
      <w:r>
        <w:rPr>
          <w:rFonts w:ascii="DM Sans" w:eastAsia="DM Sans" w:hAnsi="DM Sans" w:cs="DM Sans"/>
          <w:color w:val="1A1A1A"/>
          <w:sz w:val="21"/>
          <w:szCs w:val="21"/>
        </w:rPr>
        <w:t xml:space="preserve">This policy operates alongside, and does not override, the firm's obligations under its state or territory's legal profession legislation and solicitors' conduct rules — in particular costs disclosure, costs agreements, and trust money handling requirements. Where this policy and those obligations appear to conflict, the statutory obligation prevails, and the matter should be raised with a principal before proceeding.</w:t>
      </w:r>
    </w:p>
    <w:p w14:paraId="6831378D" w14:textId="77777777" w:rsidR="004044AF" w:rsidRDefault="00000000">
      <w:pPr>
        <w:pBdr>
          <w:bottom w:val="single" w:sz="12" w:space="4" w:color="0C5C52"/>
        </w:pBdr>
        <w:spacing w:before="400" w:after="200"/>
      </w:pPr>
      <w:r>
        <w:rPr>
          <w:rFonts w:ascii="Cormorant Garamond" w:eastAsia="Cormorant Garamond" w:hAnsi="Cormorant Garamond" w:cs="Cormorant Garamond"/>
          <w:b/>
          <w:bCs/>
          <w:color w:val="0D2B36"/>
          <w:sz w:val="26"/>
          <w:szCs w:val="26"/>
        </w:rPr>
        <w:t>2. SCOPE</w:t>
      </w:r>
    </w:p>
    <w:p w14:paraId="432D0C17" w14:textId="77777777" w:rsidR="004044AF" w:rsidRDefault="00000000">
      <w:pPr>
        <w:spacing w:after="160" w:line="300" w:lineRule="auto"/>
      </w:pPr>
      <w:r>
        <w:rPr>
          <w:rFonts w:ascii="DM Sans" w:eastAsia="DM Sans" w:hAnsi="DM Sans" w:cs="DM Sans"/>
          <w:color w:val="1A1A1A"/>
          <w:sz w:val="21"/>
          <w:szCs w:val="21"/>
        </w:rPr>
        <w:t>This policy applies to all fee-charging matters accepted by the firm, other than:</w:t>
      </w:r>
    </w:p>
    <w:p w14:paraId="3235AF77"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Matters covered by a fixed-fee product with its own published payment terms (e.g. a standard residential conveyance package priced and collected under a separate schedule).</w:t>
      </w:r>
    </w:p>
    <w:p w14:paraId="50992B4A"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 xml:space="preserve">Matters undertaken on a conditional, speculative, or no-win-no-fee basis, which are governed by their own costs agreement.</w:t>
      </w:r>
    </w:p>
    <w:p w14:paraId="1F1EA587"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Matters where a principal has approved different terms in writing under Section 8 (Exceptions).</w:t>
      </w:r>
    </w:p>
    <w:p w14:paraId="75C0F83E" w14:textId="77777777" w:rsidR="004044AF" w:rsidRDefault="00000000">
      <w:pPr>
        <w:pBdr>
          <w:bottom w:val="single" w:sz="12" w:space="4" w:color="0C5C52"/>
        </w:pBdr>
        <w:spacing w:before="400" w:after="200"/>
      </w:pPr>
      <w:r>
        <w:rPr>
          <w:rFonts w:ascii="Cormorant Garamond" w:eastAsia="Cormorant Garamond" w:hAnsi="Cormorant Garamond" w:cs="Cormorant Garamond"/>
          <w:b/>
          <w:bCs/>
          <w:color w:val="0D2B36"/>
          <w:sz w:val="26"/>
          <w:szCs w:val="26"/>
        </w:rPr>
        <w:t>3. STRUCTURE OF PAYMENT</w:t>
      </w:r>
    </w:p>
    <w:p w14:paraId="07005851" w14:textId="77777777" w:rsidR="004044AF" w:rsidRDefault="00000000">
      <w:pPr>
        <w:spacing w:after="160" w:line="300" w:lineRule="auto"/>
      </w:pPr>
      <w:r>
        <w:rPr>
          <w:rFonts w:ascii="DM Sans" w:eastAsia="DM Sans" w:hAnsi="DM Sans" w:cs="DM Sans"/>
          <w:color w:val="1A1A1A"/>
          <w:sz w:val="21"/>
          <w:szCs w:val="21"/>
        </w:rPr>
        <w:t>Every matter in scope is billed in three stages:</w:t>
      </w:r>
    </w:p>
    <w:p w14:paraId="3348BD38"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An upfront payment on acceptance of the retainer, before substantive work begins.</w:t>
      </w:r>
    </w:p>
    <w:p w14:paraId="088FE41D"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Periodic (progress) payments through the life of the file, timed to the expected length of the matter.</w:t>
      </w:r>
    </w:p>
    <w:p w14:paraId="132EED0D"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A final payment on completion, or an agreed payment arrangement documented in writing before the file closes.</w:t>
      </w:r>
    </w:p>
    <w:p w14:paraId="0A48CE43" w14:textId="77777777" w:rsidR="004044AF" w:rsidRDefault="00000000">
      <w:pPr>
        <w:spacing w:before="260" w:after="120"/>
      </w:pPr>
      <w:r>
        <w:rPr>
          <w:rFonts w:ascii="Cormorant Garamond" w:eastAsia="Cormorant Garamond" w:hAnsi="Cormorant Garamond" w:cs="Cormorant Garamond"/>
          <w:b/>
          <w:bCs/>
          <w:color w:val="0C5C52"/>
          <w:sz w:val="22"/>
          <w:szCs w:val="22"/>
        </w:rPr>
        <w:t>3.1 Upfront Payment — 33% to 50%</w:t>
      </w:r>
    </w:p>
    <w:p w14:paraId="261D9F35" w14:textId="77777777" w:rsidR="004044AF" w:rsidRDefault="00000000">
      <w:pPr>
        <w:spacing w:after="160" w:line="300" w:lineRule="auto"/>
      </w:pPr>
      <w:r>
        <w:rPr>
          <w:rFonts w:ascii="DM Sans" w:eastAsia="DM Sans" w:hAnsi="DM Sans" w:cs="DM Sans"/>
          <w:color w:val="1A1A1A"/>
          <w:sz w:val="21"/>
          <w:szCs w:val="21"/>
        </w:rPr>
        <w:t>The upfront payment is fixed as a percentage of the estimated total fee, disclosed in the client's costs agreement, and payable before work commences (and, for conveyancing matters, banked to trust in accordance with trust account rules until billed).</w:t>
      </w:r>
    </w:p>
    <w:p w14:paraId="597176F0"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lastRenderedPageBreak/>
        <w:t>33% — the default position for most matters: established client, low-to-moderate complexity, standard risk profile.</w:t>
      </w:r>
    </w:p>
    <w:p w14:paraId="70ECC85A"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Up to 50% — applied where the matter carries higher risk of an extended timeline, fee variability, or credit risk — for example a new client with no prior payment history, a complex or contested matter, or a file where the likely duration cannot yet be estimated with confidence.</w:t>
      </w:r>
    </w:p>
    <w:p w14:paraId="46CF0581" w14:textId="77777777" w:rsidR="004044AF" w:rsidRDefault="00000000">
      <w:pPr>
        <w:pBdr>
          <w:left w:val="single" w:sz="18" w:space="8" w:color="3A9E91"/>
        </w:pBdr>
        <w:shd w:val="clear" w:color="auto" w:fill="EEF5F4"/>
        <w:spacing w:before="100" w:after="200"/>
        <w:ind w:left="200"/>
      </w:pPr>
      <w:r>
        <w:rPr>
          <w:rFonts w:ascii="DM Sans" w:eastAsia="DM Sans" w:hAnsi="DM Sans" w:cs="DM Sans"/>
          <w:b/>
          <w:bCs/>
          <w:color w:val="0C5C52"/>
          <w:sz w:val="19"/>
          <w:szCs w:val="19"/>
        </w:rPr>
        <w:t xml:space="preserve">NOTE — </w:t>
      </w:r>
      <w:r>
        <w:rPr>
          <w:rFonts w:ascii="DM Sans" w:eastAsia="DM Sans" w:hAnsi="DM Sans" w:cs="DM Sans"/>
          <w:i/>
          <w:iCs/>
          <w:color w:val="5B6B6E"/>
          <w:sz w:val="19"/>
          <w:szCs w:val="19"/>
        </w:rPr>
        <w:t>The exact percentage within the 33–50% band is a matter of fee-earner and principal judgement at the time the costs agreement is prepared. Where in doubt, start at 40% and record the reasoning in the file note. Where the higher end of the band applies because of credit risk, a client who won't agree to it is answering the accept/decline question directly — see Section 6.1.</w:t>
      </w:r>
    </w:p>
    <w:p w14:paraId="0F12F36B" w14:textId="77777777" w:rsidR="004044AF" w:rsidRDefault="00000000">
      <w:pPr>
        <w:spacing w:before="260" w:after="120"/>
      </w:pPr>
      <w:r>
        <w:rPr>
          <w:rFonts w:ascii="Cormorant Garamond" w:eastAsia="Cormorant Garamond" w:hAnsi="Cormorant Garamond" w:cs="Cormorant Garamond"/>
          <w:b/>
          <w:bCs/>
          <w:color w:val="0C5C52"/>
          <w:sz w:val="22"/>
          <w:szCs w:val="22"/>
        </w:rPr>
        <w:t>3.2 Periodic Payments — set by expected file length</w:t>
      </w:r>
    </w:p>
    <w:p w14:paraId="65110345" w14:textId="77777777" w:rsidR="004044AF" w:rsidRDefault="00000000">
      <w:pPr>
        <w:spacing w:after="160" w:line="300" w:lineRule="auto"/>
      </w:pPr>
      <w:r>
        <w:rPr>
          <w:rFonts w:ascii="DM Sans" w:eastAsia="DM Sans" w:hAnsi="DM Sans" w:cs="DM Sans"/>
          <w:color w:val="1A1A1A"/>
          <w:sz w:val="21"/>
          <w:szCs w:val="21"/>
        </w:rPr>
        <w:t>Once the upfront payment is received, the fee-earner sets a periodic billing schedule based on the expected length of the file in months, per the table below. The schedule is disclosed to the client at the outset and revisited if the estimated timeline materially changes.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3400"/>
        <w:gridCol w:w="2500"/>
      </w:tblGrid>
      <w:tr w:rsidR="004044AF" w14:paraId="03A9277F" w14:textId="77777777">
        <w:tblPrEx>
          <w:tblCellMar>
            <w:top w:w="0" w:type="dxa"/>
            <w:bottom w:w="0" w:type="dxa"/>
          </w:tblCellMar>
        </w:tblPrEx>
        <w:trPr>
          <w:tblHeader/>
        </w:trPr>
        <w:tc>
          <w:tcPr>
            <w:tcW w:w="2600" w:type="dxa"/>
            <w:shd w:val="clear" w:color="auto" w:fill="0D2B36"/>
            <w:tcMar>
              <w:top w:w="100" w:type="dxa"/>
              <w:left w:w="140" w:type="dxa"/>
              <w:bottom w:w="100" w:type="dxa"/>
              <w:right w:w="140" w:type="dxa"/>
            </w:tcMar>
            <w:vAlign w:val="center"/>
          </w:tcPr>
          <w:p w14:paraId="58B75F22" w14:textId="77777777" w:rsidR="004044AF" w:rsidRDefault="00000000">
            <w:r>
              <w:rPr>
                <w:rFonts w:ascii="DM Sans" w:eastAsia="DM Sans" w:hAnsi="DM Sans" w:cs="DM Sans"/>
                <w:b/>
                <w:bCs/>
                <w:color w:val="FFFFFF"/>
                <w:sz w:val="19"/>
                <w:szCs w:val="19"/>
              </w:rPr>
              <w:t>File length (acceptance to expected completion)</w:t>
            </w:r>
          </w:p>
        </w:tc>
        <w:tc>
          <w:tcPr>
            <w:tcW w:w="1500" w:type="dxa"/>
            <w:shd w:val="clear" w:color="auto" w:fill="0D2B36"/>
            <w:tcMar>
              <w:top w:w="100" w:type="dxa"/>
              <w:left w:w="140" w:type="dxa"/>
              <w:bottom w:w="100" w:type="dxa"/>
              <w:right w:w="140" w:type="dxa"/>
            </w:tcMar>
            <w:vAlign w:val="center"/>
          </w:tcPr>
          <w:p w14:paraId="0DC978DE" w14:textId="77777777" w:rsidR="004044AF" w:rsidRDefault="00000000">
            <w:r>
              <w:rPr>
                <w:rFonts w:ascii="DM Sans" w:eastAsia="DM Sans" w:hAnsi="DM Sans" w:cs="DM Sans"/>
                <w:b/>
                <w:bCs/>
                <w:color w:val="FFFFFF"/>
                <w:sz w:val="19"/>
                <w:szCs w:val="19"/>
              </w:rPr>
              <w:t>Upfront payment</w:t>
            </w:r>
          </w:p>
        </w:tc>
        <w:tc>
          <w:tcPr>
            <w:tcW w:w="3400" w:type="dxa"/>
            <w:shd w:val="clear" w:color="auto" w:fill="0D2B36"/>
            <w:tcMar>
              <w:top w:w="100" w:type="dxa"/>
              <w:left w:w="140" w:type="dxa"/>
              <w:bottom w:w="100" w:type="dxa"/>
              <w:right w:w="140" w:type="dxa"/>
            </w:tcMar>
            <w:vAlign w:val="center"/>
          </w:tcPr>
          <w:p w14:paraId="052E8424" w14:textId="77777777" w:rsidR="004044AF" w:rsidRDefault="00000000">
            <w:r>
              <w:rPr>
                <w:rFonts w:ascii="DM Sans" w:eastAsia="DM Sans" w:hAnsi="DM Sans" w:cs="DM Sans"/>
                <w:b/>
                <w:bCs/>
                <w:color w:val="FFFFFF"/>
                <w:sz w:val="19"/>
                <w:szCs w:val="19"/>
              </w:rPr>
              <w:t>Periodic payments</w:t>
            </w:r>
          </w:p>
        </w:tc>
        <w:tc>
          <w:tcPr>
            <w:tcW w:w="2500" w:type="dxa"/>
            <w:shd w:val="clear" w:color="auto" w:fill="0D2B36"/>
            <w:tcMar>
              <w:top w:w="100" w:type="dxa"/>
              <w:left w:w="140" w:type="dxa"/>
              <w:bottom w:w="100" w:type="dxa"/>
              <w:right w:w="140" w:type="dxa"/>
            </w:tcMar>
            <w:vAlign w:val="center"/>
          </w:tcPr>
          <w:p w14:paraId="649001FD" w14:textId="77777777" w:rsidR="004044AF" w:rsidRDefault="00000000">
            <w:r>
              <w:rPr>
                <w:rFonts w:ascii="DM Sans" w:eastAsia="DM Sans" w:hAnsi="DM Sans" w:cs="DM Sans"/>
                <w:b/>
                <w:bCs/>
                <w:color w:val="FFFFFF"/>
                <w:sz w:val="19"/>
                <w:szCs w:val="19"/>
              </w:rPr>
              <w:t>Final payment</w:t>
            </w:r>
          </w:p>
        </w:tc>
      </w:tr>
      <w:tr w:rsidR="004044AF" w14:paraId="6B6FCC55" w14:textId="77777777">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14:paraId="0B5CEBC9" w14:textId="77777777" w:rsidR="004044AF" w:rsidRDefault="00000000">
            <w:r>
              <w:rPr>
                <w:rFonts w:ascii="DM Sans" w:eastAsia="DM Sans" w:hAnsi="DM Sans" w:cs="DM Sans"/>
                <w:color w:val="1A1A1A"/>
                <w:sz w:val="19"/>
                <w:szCs w:val="19"/>
              </w:rPr>
              <w:t>Up to 1 month (e.g. standard residential conveyance)</w:t>
            </w:r>
          </w:p>
        </w:tc>
        <w:tc>
          <w:tcPr>
            <w:tcW w:w="1500" w:type="dxa"/>
            <w:shd w:val="clear" w:color="auto" w:fill="FFFFFF"/>
            <w:tcMar>
              <w:top w:w="100" w:type="dxa"/>
              <w:left w:w="140" w:type="dxa"/>
              <w:bottom w:w="100" w:type="dxa"/>
              <w:right w:w="140" w:type="dxa"/>
            </w:tcMar>
            <w:vAlign w:val="center"/>
          </w:tcPr>
          <w:p w14:paraId="06CE3DCA" w14:textId="77777777" w:rsidR="004044AF" w:rsidRDefault="00000000">
            <w:r>
              <w:rPr>
                <w:rFonts w:ascii="DM Sans" w:eastAsia="DM Sans" w:hAnsi="DM Sans" w:cs="DM Sans"/>
                <w:b/>
                <w:bCs/>
                <w:color w:val="0C5C52"/>
                <w:sz w:val="19"/>
                <w:szCs w:val="19"/>
              </w:rPr>
              <w:t>50%</w:t>
            </w:r>
          </w:p>
        </w:tc>
        <w:tc>
          <w:tcPr>
            <w:tcW w:w="3400" w:type="dxa"/>
            <w:shd w:val="clear" w:color="auto" w:fill="FFFFFF"/>
            <w:tcMar>
              <w:top w:w="100" w:type="dxa"/>
              <w:left w:w="140" w:type="dxa"/>
              <w:bottom w:w="100" w:type="dxa"/>
              <w:right w:w="140" w:type="dxa"/>
            </w:tcMar>
            <w:vAlign w:val="center"/>
          </w:tcPr>
          <w:p w14:paraId="3125119A" w14:textId="77777777" w:rsidR="004044AF" w:rsidRDefault="00000000">
            <w:r>
              <w:rPr>
                <w:rFonts w:ascii="DM Sans" w:eastAsia="DM Sans" w:hAnsi="DM Sans" w:cs="DM Sans"/>
                <w:color w:val="1A1A1A"/>
                <w:sz w:val="19"/>
                <w:szCs w:val="19"/>
              </w:rPr>
              <w:t>Not applicable — file is short enough that upfront and final payment cover the fee.</w:t>
            </w:r>
          </w:p>
        </w:tc>
        <w:tc>
          <w:tcPr>
            <w:tcW w:w="2500" w:type="dxa"/>
            <w:shd w:val="clear" w:color="auto" w:fill="FFFFFF"/>
            <w:tcMar>
              <w:top w:w="100" w:type="dxa"/>
              <w:left w:w="140" w:type="dxa"/>
              <w:bottom w:w="100" w:type="dxa"/>
              <w:right w:w="140" w:type="dxa"/>
            </w:tcMar>
            <w:vAlign w:val="center"/>
          </w:tcPr>
          <w:p w14:paraId="762102A8" w14:textId="77777777" w:rsidR="004044AF" w:rsidRDefault="00000000">
            <w:r>
              <w:rPr>
                <w:rFonts w:ascii="DM Sans" w:eastAsia="DM Sans" w:hAnsi="DM Sans" w:cs="DM Sans"/>
                <w:color w:val="1A1A1A"/>
                <w:sz w:val="19"/>
                <w:szCs w:val="19"/>
              </w:rPr>
              <w:t>Balance (50%) on or before settlement / completion.</w:t>
            </w:r>
          </w:p>
        </w:tc>
      </w:tr>
      <w:tr w:rsidR="004044AF" w14:paraId="64719457" w14:textId="77777777">
        <w:tblPrEx>
          <w:tblCellMar>
            <w:top w:w="0" w:type="dxa"/>
            <w:bottom w:w="0" w:type="dxa"/>
          </w:tblCellMar>
        </w:tblPrEx>
        <w:tc>
          <w:tcPr>
            <w:tcW w:w="2600" w:type="dxa"/>
            <w:shd w:val="clear" w:color="auto" w:fill="EEF5F4"/>
            <w:tcMar>
              <w:top w:w="100" w:type="dxa"/>
              <w:left w:w="140" w:type="dxa"/>
              <w:bottom w:w="100" w:type="dxa"/>
              <w:right w:w="140" w:type="dxa"/>
            </w:tcMar>
            <w:vAlign w:val="center"/>
          </w:tcPr>
          <w:p w14:paraId="3AFEC8E6" w14:textId="77777777" w:rsidR="004044AF" w:rsidRDefault="00000000">
            <w:r>
              <w:rPr>
                <w:rFonts w:ascii="DM Sans" w:eastAsia="DM Sans" w:hAnsi="DM Sans" w:cs="DM Sans"/>
                <w:color w:val="1A1A1A"/>
                <w:sz w:val="19"/>
                <w:szCs w:val="19"/>
              </w:rPr>
              <w:t>1–3 months</w:t>
            </w:r>
          </w:p>
        </w:tc>
        <w:tc>
          <w:tcPr>
            <w:tcW w:w="1500" w:type="dxa"/>
            <w:shd w:val="clear" w:color="auto" w:fill="EEF5F4"/>
            <w:tcMar>
              <w:top w:w="100" w:type="dxa"/>
              <w:left w:w="140" w:type="dxa"/>
              <w:bottom w:w="100" w:type="dxa"/>
              <w:right w:w="140" w:type="dxa"/>
            </w:tcMar>
            <w:vAlign w:val="center"/>
          </w:tcPr>
          <w:p w14:paraId="5B6DE84F" w14:textId="77777777" w:rsidR="004044AF" w:rsidRDefault="00000000">
            <w:r>
              <w:rPr>
                <w:rFonts w:ascii="DM Sans" w:eastAsia="DM Sans" w:hAnsi="DM Sans" w:cs="DM Sans"/>
                <w:b/>
                <w:bCs/>
                <w:color w:val="0C5C52"/>
                <w:sz w:val="19"/>
                <w:szCs w:val="19"/>
              </w:rPr>
              <w:t>40%</w:t>
            </w:r>
          </w:p>
        </w:tc>
        <w:tc>
          <w:tcPr>
            <w:tcW w:w="3400" w:type="dxa"/>
            <w:shd w:val="clear" w:color="auto" w:fill="EEF5F4"/>
            <w:tcMar>
              <w:top w:w="100" w:type="dxa"/>
              <w:left w:w="140" w:type="dxa"/>
              <w:bottom w:w="100" w:type="dxa"/>
              <w:right w:w="140" w:type="dxa"/>
            </w:tcMar>
            <w:vAlign w:val="center"/>
          </w:tcPr>
          <w:p w14:paraId="227606DA" w14:textId="77777777" w:rsidR="004044AF" w:rsidRDefault="00000000">
            <w:r>
              <w:rPr>
                <w:rFonts w:ascii="DM Sans" w:eastAsia="DM Sans" w:hAnsi="DM Sans" w:cs="DM Sans"/>
                <w:color w:val="1A1A1A"/>
                <w:sz w:val="19"/>
                <w:szCs w:val="19"/>
              </w:rPr>
              <w:t>One progress payment of 30% at the agreed midpoint milestone (e.g. exchange, unconditional date, or halfway point of the retainer).</w:t>
            </w:r>
          </w:p>
        </w:tc>
        <w:tc>
          <w:tcPr>
            <w:tcW w:w="2500" w:type="dxa"/>
            <w:shd w:val="clear" w:color="auto" w:fill="EEF5F4"/>
            <w:tcMar>
              <w:top w:w="100" w:type="dxa"/>
              <w:left w:w="140" w:type="dxa"/>
              <w:bottom w:w="100" w:type="dxa"/>
              <w:right w:w="140" w:type="dxa"/>
            </w:tcMar>
            <w:vAlign w:val="center"/>
          </w:tcPr>
          <w:p w14:paraId="24F19F1B" w14:textId="77777777" w:rsidR="004044AF" w:rsidRDefault="00000000">
            <w:r>
              <w:rPr>
                <w:rFonts w:ascii="DM Sans" w:eastAsia="DM Sans" w:hAnsi="DM Sans" w:cs="DM Sans"/>
                <w:color w:val="1A1A1A"/>
                <w:sz w:val="19"/>
                <w:szCs w:val="19"/>
              </w:rPr>
              <w:t>Balance (30%) on completion, or agreed terms confirmed in writing.</w:t>
            </w:r>
          </w:p>
        </w:tc>
      </w:tr>
      <w:tr w:rsidR="004044AF" w14:paraId="75050AE8" w14:textId="77777777">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14:paraId="7454BD05" w14:textId="77777777" w:rsidR="004044AF" w:rsidRDefault="00000000">
            <w:r>
              <w:rPr>
                <w:rFonts w:ascii="DM Sans" w:eastAsia="DM Sans" w:hAnsi="DM Sans" w:cs="DM Sans"/>
                <w:color w:val="1A1A1A"/>
                <w:sz w:val="19"/>
                <w:szCs w:val="19"/>
              </w:rPr>
              <w:t>3–6 months</w:t>
            </w:r>
          </w:p>
        </w:tc>
        <w:tc>
          <w:tcPr>
            <w:tcW w:w="1500" w:type="dxa"/>
            <w:shd w:val="clear" w:color="auto" w:fill="FFFFFF"/>
            <w:tcMar>
              <w:top w:w="100" w:type="dxa"/>
              <w:left w:w="140" w:type="dxa"/>
              <w:bottom w:w="100" w:type="dxa"/>
              <w:right w:w="140" w:type="dxa"/>
            </w:tcMar>
            <w:vAlign w:val="center"/>
          </w:tcPr>
          <w:p w14:paraId="71E46CD6" w14:textId="77777777" w:rsidR="004044AF" w:rsidRDefault="00000000">
            <w:r>
              <w:rPr>
                <w:rFonts w:ascii="DM Sans" w:eastAsia="DM Sans" w:hAnsi="DM Sans" w:cs="DM Sans"/>
                <w:b/>
                <w:bCs/>
                <w:color w:val="0C5C52"/>
                <w:sz w:val="19"/>
                <w:szCs w:val="19"/>
              </w:rPr>
              <w:t>33%</w:t>
            </w:r>
          </w:p>
        </w:tc>
        <w:tc>
          <w:tcPr>
            <w:tcW w:w="3400" w:type="dxa"/>
            <w:shd w:val="clear" w:color="auto" w:fill="FFFFFF"/>
            <w:tcMar>
              <w:top w:w="100" w:type="dxa"/>
              <w:left w:w="140" w:type="dxa"/>
              <w:bottom w:w="100" w:type="dxa"/>
              <w:right w:w="140" w:type="dxa"/>
            </w:tcMar>
            <w:vAlign w:val="center"/>
          </w:tcPr>
          <w:p w14:paraId="63304FE4" w14:textId="77777777" w:rsidR="004044AF" w:rsidRDefault="00000000">
            <w:r>
              <w:rPr>
                <w:rFonts w:ascii="DM Sans" w:eastAsia="DM Sans" w:hAnsi="DM Sans" w:cs="DM Sans"/>
                <w:color w:val="1A1A1A"/>
                <w:sz w:val="19"/>
                <w:szCs w:val="19"/>
              </w:rPr>
              <w:t>Monthly progress payments, invoiced against work in progress, recovering a further c. 45–50% of the estimated total fee across the file term.</w:t>
            </w:r>
          </w:p>
        </w:tc>
        <w:tc>
          <w:tcPr>
            <w:tcW w:w="2500" w:type="dxa"/>
            <w:shd w:val="clear" w:color="auto" w:fill="FFFFFF"/>
            <w:tcMar>
              <w:top w:w="100" w:type="dxa"/>
              <w:left w:w="140" w:type="dxa"/>
              <w:bottom w:w="100" w:type="dxa"/>
              <w:right w:w="140" w:type="dxa"/>
            </w:tcMar>
            <w:vAlign w:val="center"/>
          </w:tcPr>
          <w:p w14:paraId="4F75CB4C" w14:textId="77777777" w:rsidR="004044AF" w:rsidRDefault="00000000">
            <w:r>
              <w:rPr>
                <w:rFonts w:ascii="DM Sans" w:eastAsia="DM Sans" w:hAnsi="DM Sans" w:cs="DM Sans"/>
                <w:color w:val="1A1A1A"/>
                <w:sz w:val="19"/>
                <w:szCs w:val="19"/>
              </w:rPr>
              <w:t>Balance on completion, or agreed terms confirmed in writing.</w:t>
            </w:r>
          </w:p>
        </w:tc>
      </w:tr>
      <w:tr w:rsidR="004044AF" w14:paraId="3DECE0B1" w14:textId="77777777">
        <w:tblPrEx>
          <w:tblCellMar>
            <w:top w:w="0" w:type="dxa"/>
            <w:bottom w:w="0" w:type="dxa"/>
          </w:tblCellMar>
        </w:tblPrEx>
        <w:tc>
          <w:tcPr>
            <w:tcW w:w="2600" w:type="dxa"/>
            <w:shd w:val="clear" w:color="auto" w:fill="EEF5F4"/>
            <w:tcMar>
              <w:top w:w="100" w:type="dxa"/>
              <w:left w:w="140" w:type="dxa"/>
              <w:bottom w:w="100" w:type="dxa"/>
              <w:right w:w="140" w:type="dxa"/>
            </w:tcMar>
            <w:vAlign w:val="center"/>
          </w:tcPr>
          <w:p w14:paraId="5D80607D" w14:textId="77777777" w:rsidR="004044AF" w:rsidRDefault="00000000">
            <w:r>
              <w:rPr>
                <w:rFonts w:ascii="DM Sans" w:eastAsia="DM Sans" w:hAnsi="DM Sans" w:cs="DM Sans"/>
                <w:color w:val="1A1A1A"/>
                <w:sz w:val="19"/>
                <w:szCs w:val="19"/>
              </w:rPr>
              <w:t>6–12 months</w:t>
            </w:r>
          </w:p>
        </w:tc>
        <w:tc>
          <w:tcPr>
            <w:tcW w:w="1500" w:type="dxa"/>
            <w:shd w:val="clear" w:color="auto" w:fill="EEF5F4"/>
            <w:tcMar>
              <w:top w:w="100" w:type="dxa"/>
              <w:left w:w="140" w:type="dxa"/>
              <w:bottom w:w="100" w:type="dxa"/>
              <w:right w:w="140" w:type="dxa"/>
            </w:tcMar>
            <w:vAlign w:val="center"/>
          </w:tcPr>
          <w:p w14:paraId="21027F24" w14:textId="77777777" w:rsidR="004044AF" w:rsidRDefault="00000000">
            <w:r>
              <w:rPr>
                <w:rFonts w:ascii="DM Sans" w:eastAsia="DM Sans" w:hAnsi="DM Sans" w:cs="DM Sans"/>
                <w:b/>
                <w:bCs/>
                <w:color w:val="0C5C52"/>
                <w:sz w:val="19"/>
                <w:szCs w:val="19"/>
              </w:rPr>
              <w:t>33%</w:t>
            </w:r>
          </w:p>
        </w:tc>
        <w:tc>
          <w:tcPr>
            <w:tcW w:w="3400" w:type="dxa"/>
            <w:shd w:val="clear" w:color="auto" w:fill="EEF5F4"/>
            <w:tcMar>
              <w:top w:w="100" w:type="dxa"/>
              <w:left w:w="140" w:type="dxa"/>
              <w:bottom w:w="100" w:type="dxa"/>
              <w:right w:w="140" w:type="dxa"/>
            </w:tcMar>
            <w:vAlign w:val="center"/>
          </w:tcPr>
          <w:p w14:paraId="77D458D9" w14:textId="77777777" w:rsidR="004044AF" w:rsidRDefault="00000000">
            <w:r>
              <w:rPr>
                <w:rFonts w:ascii="DM Sans" w:eastAsia="DM Sans" w:hAnsi="DM Sans" w:cs="DM Sans"/>
                <w:color w:val="1A1A1A"/>
                <w:sz w:val="19"/>
                <w:szCs w:val="19"/>
              </w:rPr>
              <w:t>Monthly progress payments, reviewed at each billing cycle against actual work in progress and any revised estimate.</w:t>
            </w:r>
          </w:p>
        </w:tc>
        <w:tc>
          <w:tcPr>
            <w:tcW w:w="2500" w:type="dxa"/>
            <w:shd w:val="clear" w:color="auto" w:fill="EEF5F4"/>
            <w:tcMar>
              <w:top w:w="100" w:type="dxa"/>
              <w:left w:w="140" w:type="dxa"/>
              <w:bottom w:w="100" w:type="dxa"/>
              <w:right w:w="140" w:type="dxa"/>
            </w:tcMar>
            <w:vAlign w:val="center"/>
          </w:tcPr>
          <w:p w14:paraId="286175B1" w14:textId="77777777" w:rsidR="004044AF" w:rsidRDefault="00000000">
            <w:r>
              <w:rPr>
                <w:rFonts w:ascii="DM Sans" w:eastAsia="DM Sans" w:hAnsi="DM Sans" w:cs="DM Sans"/>
                <w:color w:val="1A1A1A"/>
                <w:sz w:val="19"/>
                <w:szCs w:val="19"/>
              </w:rPr>
              <w:t>Balance on completion, or a documented payment plan agreed before the file closes.</w:t>
            </w:r>
          </w:p>
        </w:tc>
      </w:tr>
      <w:tr w:rsidR="004044AF" w14:paraId="1F1141E5" w14:textId="77777777">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14:paraId="4374B487" w14:textId="77777777" w:rsidR="004044AF" w:rsidRDefault="00000000">
            <w:r>
              <w:rPr>
                <w:rFonts w:ascii="DM Sans" w:eastAsia="DM Sans" w:hAnsi="DM Sans" w:cs="DM Sans"/>
                <w:color w:val="1A1A1A"/>
                <w:sz w:val="19"/>
                <w:szCs w:val="19"/>
              </w:rPr>
              <w:t>12+ months</w:t>
            </w:r>
          </w:p>
        </w:tc>
        <w:tc>
          <w:tcPr>
            <w:tcW w:w="1500" w:type="dxa"/>
            <w:shd w:val="clear" w:color="auto" w:fill="FFFFFF"/>
            <w:tcMar>
              <w:top w:w="100" w:type="dxa"/>
              <w:left w:w="140" w:type="dxa"/>
              <w:bottom w:w="100" w:type="dxa"/>
              <w:right w:w="140" w:type="dxa"/>
            </w:tcMar>
            <w:vAlign w:val="center"/>
          </w:tcPr>
          <w:p w14:paraId="6F3E6ACB" w14:textId="77777777" w:rsidR="004044AF" w:rsidRDefault="00000000">
            <w:r>
              <w:rPr>
                <w:rFonts w:ascii="DM Sans" w:eastAsia="DM Sans" w:hAnsi="DM Sans" w:cs="DM Sans"/>
                <w:b/>
                <w:bCs/>
                <w:color w:val="0C5C52"/>
                <w:sz w:val="19"/>
                <w:szCs w:val="19"/>
              </w:rPr>
              <w:t>33%</w:t>
            </w:r>
          </w:p>
        </w:tc>
        <w:tc>
          <w:tcPr>
            <w:tcW w:w="3400" w:type="dxa"/>
            <w:shd w:val="clear" w:color="auto" w:fill="FFFFFF"/>
            <w:tcMar>
              <w:top w:w="100" w:type="dxa"/>
              <w:left w:w="140" w:type="dxa"/>
              <w:bottom w:w="100" w:type="dxa"/>
              <w:right w:w="140" w:type="dxa"/>
            </w:tcMar>
            <w:vAlign w:val="center"/>
          </w:tcPr>
          <w:p w14:paraId="4893E016" w14:textId="77777777" w:rsidR="004044AF" w:rsidRDefault="00000000">
            <w:r>
              <w:rPr>
                <w:rFonts w:ascii="DM Sans" w:eastAsia="DM Sans" w:hAnsi="DM Sans" w:cs="DM Sans"/>
                <w:color w:val="1A1A1A"/>
                <w:sz w:val="19"/>
                <w:szCs w:val="19"/>
              </w:rPr>
              <w:t>Monthly progress payments, plus a formal fee and scope review at minimum every 6 months.</w:t>
            </w:r>
          </w:p>
        </w:tc>
        <w:tc>
          <w:tcPr>
            <w:tcW w:w="2500" w:type="dxa"/>
            <w:shd w:val="clear" w:color="auto" w:fill="FFFFFF"/>
            <w:tcMar>
              <w:top w:w="100" w:type="dxa"/>
              <w:left w:w="140" w:type="dxa"/>
              <w:bottom w:w="100" w:type="dxa"/>
              <w:right w:w="140" w:type="dxa"/>
            </w:tcMar>
            <w:vAlign w:val="center"/>
          </w:tcPr>
          <w:p w14:paraId="6C088CDF" w14:textId="77777777" w:rsidR="004044AF" w:rsidRDefault="00000000">
            <w:r>
              <w:rPr>
                <w:rFonts w:ascii="DM Sans" w:eastAsia="DM Sans" w:hAnsi="DM Sans" w:cs="DM Sans"/>
                <w:color w:val="1A1A1A"/>
                <w:sz w:val="19"/>
                <w:szCs w:val="19"/>
              </w:rPr>
              <w:t>Balance on completion, or terms confirmed in writing prior to the final invoice being raised.</w:t>
            </w:r>
          </w:p>
        </w:tc>
      </w:tr>
    </w:tbl>
    <w:p w14:paraId="7419C3D5" w14:textId="77777777" w:rsidR="004044AF" w:rsidRDefault="004044AF">
      <w:pPr>
        <w:spacing w:before="200"/>
      </w:pPr>
    </w:p>
    <w:p w14:paraId="1B7AB3D3" w14:textId="77777777" w:rsidR="004044AF" w:rsidRDefault="00000000">
      <w:pPr>
        <w:pBdr>
          <w:left w:val="single" w:sz="18" w:space="8" w:color="3A9E91"/>
        </w:pBdr>
        <w:shd w:val="clear" w:color="auto" w:fill="EEF5F4"/>
        <w:spacing w:before="100" w:after="200"/>
        <w:ind w:left="200"/>
      </w:pPr>
      <w:r>
        <w:rPr>
          <w:rFonts w:ascii="DM Sans" w:eastAsia="DM Sans" w:hAnsi="DM Sans" w:cs="DM Sans"/>
          <w:b/>
          <w:bCs/>
          <w:color w:val="0C5C52"/>
          <w:sz w:val="19"/>
          <w:szCs w:val="19"/>
        </w:rPr>
        <w:t xml:space="preserve">NOTE — </w:t>
      </w:r>
      <w:r>
        <w:rPr>
          <w:rFonts w:ascii="DM Sans" w:eastAsia="DM Sans" w:hAnsi="DM Sans" w:cs="DM Sans"/>
          <w:i/>
          <w:iCs/>
          <w:color w:val="5B6B6E"/>
          <w:sz w:val="19"/>
          <w:szCs w:val="19"/>
        </w:rPr>
        <w:t xml:space="preserve">Figures in the "periodic payments" column are starting points, not fixed rules — fee-earners should adjust the cadence and percentage split to fit the actual milestones of the matter (e.g. exchange, unconditional date, settlement), and record the agreed schedule in the costs agreement or a file note.</w:t>
      </w:r>
    </w:p>
    <w:p w14:paraId="4D515947" w14:textId="77777777" w:rsidR="004044AF" w:rsidRDefault="00000000">
      <w:pPr>
        <w:spacing w:before="260" w:after="120"/>
      </w:pPr>
      <w:r>
        <w:rPr>
          <w:rFonts w:ascii="Cormorant Garamond" w:eastAsia="Cormorant Garamond" w:hAnsi="Cormorant Garamond" w:cs="Cormorant Garamond"/>
          <w:b/>
          <w:bCs/>
          <w:color w:val="0C5C52"/>
          <w:sz w:val="22"/>
          <w:szCs w:val="22"/>
        </w:rPr>
        <w:t>3.3 Final Payment</w:t>
      </w:r>
    </w:p>
    <w:p w14:paraId="44DAD867" w14:textId="77777777" w:rsidR="004044AF" w:rsidRDefault="00000000">
      <w:pPr>
        <w:spacing w:after="160" w:line="300" w:lineRule="auto"/>
      </w:pPr>
      <w:r>
        <w:rPr>
          <w:rFonts w:ascii="DM Sans" w:eastAsia="DM Sans" w:hAnsi="DM Sans" w:cs="DM Sans"/>
          <w:color w:val="1A1A1A"/>
          <w:sz w:val="21"/>
          <w:szCs w:val="21"/>
        </w:rPr>
        <w:t>On completion of the matter, the client is required to pay the balance of fees in full, unless the fee-earner and the client have agreed alternative terms in writing before the file closes. Alternative terms may include:</w:t>
      </w:r>
    </w:p>
    <w:p w14:paraId="1AACB891"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A defined instalment plan with a fixed number of payments and dates.</w:t>
      </w:r>
    </w:p>
    <w:p w14:paraId="6F3161A6"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lastRenderedPageBreak/>
        <w:t>Security for a deferred balance where appropriate (e.g. undertaking, caveat, personal guarantee), approved by a principal.</w:t>
      </w:r>
    </w:p>
    <w:p w14:paraId="547C0860"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 xml:space="preserve">An administration or financing charge on deferred balances, where disclosed in advance in the costs agreement.</w:t>
      </w:r>
    </w:p>
    <w:p w14:paraId="355A3A72" w14:textId="77777777" w:rsidR="004044AF" w:rsidRDefault="00000000">
      <w:pPr>
        <w:pBdr>
          <w:left w:val="single" w:sz="18" w:space="8" w:color="3A9E91"/>
        </w:pBdr>
        <w:shd w:val="clear" w:color="auto" w:fill="EEF5F4"/>
        <w:spacing w:before="100" w:after="200"/>
        <w:ind w:left="200"/>
      </w:pPr>
      <w:r>
        <w:rPr>
          <w:rFonts w:ascii="DM Sans" w:eastAsia="DM Sans" w:hAnsi="DM Sans" w:cs="DM Sans"/>
          <w:b/>
          <w:bCs/>
          <w:color w:val="0C5C52"/>
          <w:sz w:val="19"/>
          <w:szCs w:val="19"/>
        </w:rPr>
        <w:t xml:space="preserve">NOTE — </w:t>
      </w:r>
      <w:r>
        <w:rPr>
          <w:rFonts w:ascii="DM Sans" w:eastAsia="DM Sans" w:hAnsi="DM Sans" w:cs="DM Sans"/>
          <w:i/>
          <w:iCs/>
          <w:color w:val="5B6B6E"/>
          <w:sz w:val="19"/>
          <w:szCs w:val="19"/>
        </w:rPr>
        <w:t>A completed matter should not be closed on the file management system with an outstanding balance unless a written, principal-approved payment plan is on file.</w:t>
      </w:r>
    </w:p>
    <w:p w14:paraId="6180EC01" w:rsidR="004044AF" w:rsidRDefault="00000000">
      <w:pPr>
        <w:spacing w:before="260" w:after="120"/>
      </w:pPr>
      <w:r>
        <w:rPr>
          <w:rFonts w:ascii="Cormorant Garamond" w:eastAsia="Cormorant Garamond" w:hAnsi="Cormorant Garamond" w:cs="Cormorant Garamond"/>
          <w:b/>
          <w:bCs/>
          <w:color w:val="0C5C52"/>
          <w:sz w:val="22"/>
          <w:szCs w:val="22"/>
        </w:rPr>
        <w:t>3.4 Monitoring During the Matter</w:t>
      </w:r>
    </w:p>
    <w:p w14:paraId="6180EC02" w:rsidR="004044AF" w:rsidRDefault="00000000">
      <w:pPr>
        <w:spacing w:after="160" w:line="300" w:lineRule="auto"/>
      </w:pPr>
      <w:r>
        <w:rPr>
          <w:rFonts w:ascii="DM Sans" w:eastAsia="DM Sans" w:hAnsi="DM Sans" w:cs="DM Sans"/>
          <w:color w:val="1A1A1A"/>
          <w:sz w:val="21"/>
          <w:szCs w:val="21"/>
        </w:rPr>
        <w:t xml:space="preserve">Periodic payments are not "set and forget." At each billing cycle set out in Section 3.2, the fee-earner reviews work in progress against fees actually billed and paid to date, and makes a real-time call on whether work should continue:</w:t>
      </w:r>
    </w:p>
    <w:p w14:paraId="6180EC03" w:rsidR="004044AF" w:rsidRDefault="00000000">
      <w:pPr>
        <w:pStyle w:val="ListParagraph"/>
        <w:numPr>
          <w:ilvl w:val="0"/>
          <w:numId w:val="2"/>
        </w:numPr>
        <w:spacing w:after="90" w:line="290" w:lineRule="auto"/>
      </w:pPr>
      <w:r>
        <w:rPr>
          <w:rFonts w:ascii="DM Sans" w:eastAsia="DM Sans" w:hAnsi="DM Sans" w:cs="DM Sans"/>
          <w:color w:val="1A1A1A"/>
          <w:sz w:val="21"/>
          <w:szCs w:val="21"/>
        </w:rPr>
        <w:t>Continue as planned, where fees billed and paid are keeping pace with work in progress.</w:t>
      </w:r>
    </w:p>
    <w:p w14:paraId="6180EC04" w:rsidR="004044AF" w:rsidRDefault="00000000">
      <w:pPr>
        <w:pStyle w:val="ListParagraph"/>
        <w:numPr>
          <w:ilvl w:val="0"/>
          <w:numId w:val="2"/>
        </w:numPr>
        <w:spacing w:after="90" w:line="290" w:lineRule="auto"/>
      </w:pPr>
      <w:r>
        <w:rPr>
          <w:rFonts w:ascii="DM Sans" w:eastAsia="DM Sans" w:hAnsi="DM Sans" w:cs="DM Sans"/>
          <w:color w:val="1A1A1A"/>
          <w:sz w:val="21"/>
          <w:szCs w:val="21"/>
        </w:rPr>
        <w:t>Raise it with the client and tighten the schedule — for example bringing forward the next progress payment — where a gap is emerging.</w:t>
      </w:r>
    </w:p>
    <w:p w14:paraId="6180EC05" w:rsidR="004044AF" w:rsidRDefault="00000000">
      <w:pPr>
        <w:pStyle w:val="ListParagraph"/>
        <w:numPr>
          <w:ilvl w:val="0"/>
          <w:numId w:val="2"/>
        </w:numPr>
        <w:spacing w:after="90" w:line="290" w:lineRule="auto"/>
      </w:pPr>
      <w:r>
        <w:rPr>
          <w:rFonts w:ascii="DM Sans" w:eastAsia="DM Sans" w:hAnsi="DM Sans" w:cs="DM Sans"/>
          <w:color w:val="1A1A1A"/>
          <w:sz w:val="21"/>
          <w:szCs w:val="21"/>
        </w:rPr>
        <w:t>Escalate to a principal and consider pausing further work, where the gap is material or unresolved (see Section 5).</w:t>
      </w:r>
    </w:p>
    <w:p w14:paraId="6180EC06" w:rsidR="004044AF" w:rsidRDefault="00000000">
      <w:pPr>
        <w:pBdr>
          <w:left w:val="single" w:sz="18" w:space="8" w:color="3A9E91"/>
        </w:pBdr>
        <w:shd w:val="clear" w:color="auto" w:fill="EEF5F4"/>
        <w:spacing w:before="100" w:after="200"/>
        <w:ind w:left="200"/>
      </w:pPr>
      <w:r>
        <w:rPr>
          <w:rFonts w:ascii="DM Sans" w:eastAsia="DM Sans" w:hAnsi="DM Sans" w:cs="DM Sans"/>
          <w:b/>
          <w:bCs/>
          <w:color w:val="0C5C52"/>
          <w:sz w:val="19"/>
          <w:szCs w:val="19"/>
        </w:rPr>
        <w:t xml:space="preserve">NOTE — </w:t>
      </w:r>
      <w:r>
        <w:rPr>
          <w:rFonts w:ascii="DM Sans" w:eastAsia="DM Sans" w:hAnsi="DM Sans" w:cs="DM Sans"/>
          <w:i/>
          <w:iCs/>
          <w:color w:val="5B6B6E"/>
          <w:sz w:val="19"/>
          <w:szCs w:val="19"/>
        </w:rPr>
        <w:t>This monitoring runs alongside Section 5, not instead of it. Section 5 governs the response once a specific payment has actually been missed; this section is the ongoing check that catches drift before it gets that far.</w:t>
      </w:r>
    </w:p>
    <w:p w14:paraId="6180ECA5" w14:textId="77777777" w:rsidR="004044AF" w:rsidRDefault="00000000">
      <w:pPr>
        <w:pBdr>
          <w:bottom w:val="single" w:sz="12" w:space="4" w:color="0C5C52"/>
        </w:pBdr>
        <w:spacing w:before="400" w:after="200"/>
      </w:pPr>
      <w:r>
        <w:rPr>
          <w:rFonts w:ascii="Cormorant Garamond" w:eastAsia="Cormorant Garamond" w:hAnsi="Cormorant Garamond" w:cs="Cormorant Garamond"/>
          <w:b/>
          <w:bCs/>
          <w:color w:val="0D2B36"/>
          <w:sz w:val="26"/>
          <w:szCs w:val="26"/>
        </w:rPr>
        <w:t>4. ADMINISTRATION</w:t>
      </w:r>
    </w:p>
    <w:p w14:paraId="2A036FDA" w14:textId="77777777" w:rsidR="004044AF" w:rsidRDefault="00000000">
      <w:pPr>
        <w:spacing w:before="260" w:after="120"/>
      </w:pPr>
      <w:r>
        <w:rPr>
          <w:rFonts w:ascii="Cormorant Garamond" w:eastAsia="Cormorant Garamond" w:hAnsi="Cormorant Garamond" w:cs="Cormorant Garamond"/>
          <w:b/>
          <w:bCs/>
          <w:color w:val="0C5C52"/>
          <w:sz w:val="22"/>
          <w:szCs w:val="22"/>
        </w:rPr>
        <w:t>4.1 Invoicing</w:t>
      </w:r>
    </w:p>
    <w:p w14:paraId="60E6C5FA"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The upfront payment is requested at the same time as the signed costs agreement is issued.</w:t>
      </w:r>
    </w:p>
    <w:p w14:paraId="1045E21D"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Periodic invoices are raised on the cadence set out in Section 3.2, referencing work in progress to date.</w:t>
      </w:r>
    </w:p>
    <w:p w14:paraId="6400214A"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The final invoice is raised on completion, or on execution of an agreed payment plan.</w:t>
      </w:r>
    </w:p>
    <w:p w14:paraId="7409FAE8" w14:textId="77777777" w:rsidR="004044AF" w:rsidRDefault="00000000">
      <w:pPr>
        <w:spacing w:before="260" w:after="120"/>
      </w:pPr>
      <w:r>
        <w:rPr>
          <w:rFonts w:ascii="Cormorant Garamond" w:eastAsia="Cormorant Garamond" w:hAnsi="Cormorant Garamond" w:cs="Cormorant Garamond"/>
          <w:b/>
          <w:bCs/>
          <w:color w:val="0C5C52"/>
          <w:sz w:val="22"/>
          <w:szCs w:val="22"/>
        </w:rPr>
        <w:t>4.2 Trust account handling</w:t>
      </w:r>
    </w:p>
    <w:p w14:paraId="3DEB8D1E" w14:textId="77777777" w:rsidR="004044AF" w:rsidRDefault="00000000">
      <w:pPr>
        <w:spacing w:after="160" w:line="300" w:lineRule="auto"/>
      </w:pPr>
      <w:r>
        <w:rPr>
          <w:rFonts w:ascii="DM Sans" w:eastAsia="DM Sans" w:hAnsi="DM Sans" w:cs="DM Sans"/>
          <w:color w:val="1A1A1A"/>
          <w:sz w:val="21"/>
          <w:szCs w:val="21"/>
        </w:rPr>
        <w:t>Upfront and periodic payments received in advance of costs being incurred are trust money and must be banked to the firm's trust account and dealt with in accordance with the applicable trust account rules. Funds are only transferred to office account once a valid bill has been rendered and, where required, the relevant notice period has passed.</w:t>
      </w:r>
    </w:p>
    <w:p w14:paraId="109194E3" w14:textId="77777777" w:rsidR="004044AF" w:rsidRDefault="00000000">
      <w:pPr>
        <w:spacing w:before="260" w:after="120"/>
      </w:pPr>
      <w:r>
        <w:rPr>
          <w:rFonts w:ascii="Cormorant Garamond" w:eastAsia="Cormorant Garamond" w:hAnsi="Cormorant Garamond" w:cs="Cormorant Garamond"/>
          <w:b/>
          <w:bCs/>
          <w:color w:val="0C5C52"/>
          <w:sz w:val="22"/>
          <w:szCs w:val="22"/>
        </w:rPr>
        <w:t>4.3 Accepted payment methods</w:t>
      </w:r>
    </w:p>
    <w:p w14:paraId="3C098BE7"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Electronic funds transfer (preferred).</w:t>
      </w:r>
    </w:p>
    <w:p w14:paraId="5548E2AD"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Credit or debit card, where a merchant facility is available (surcharge may apply).</w:t>
      </w:r>
    </w:p>
    <w:p w14:paraId="682CE4CE"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Trust-to-trust transfer from a related party (e.g. purchaser's mortgage funds) at or near settlement.</w:t>
      </w:r>
    </w:p>
    <w:p w14:paraId="1D52AA80" w14:textId="77777777" w:rsidR="004044AF" w:rsidRDefault="00000000">
      <w:pPr>
        <w:pBdr>
          <w:bottom w:val="single" w:sz="12" w:space="4" w:color="0C5C52"/>
        </w:pBdr>
        <w:spacing w:before="400" w:after="200"/>
      </w:pPr>
      <w:r>
        <w:rPr>
          <w:rFonts w:ascii="Cormorant Garamond" w:eastAsia="Cormorant Garamond" w:hAnsi="Cormorant Garamond" w:cs="Cormorant Garamond"/>
          <w:b/>
          <w:bCs/>
          <w:color w:val="0D2B36"/>
          <w:sz w:val="26"/>
          <w:szCs w:val="26"/>
        </w:rPr>
        <w:t>5. NON-PAYMENT OR LATE PAYMENT</w:t>
      </w:r>
    </w:p>
    <w:p w14:paraId="0763A70D" w14:textId="77777777" w:rsidR="004044AF" w:rsidRDefault="00000000">
      <w:pPr>
        <w:spacing w:after="160" w:line="300" w:lineRule="auto"/>
      </w:pPr>
      <w:r>
        <w:rPr>
          <w:rFonts w:ascii="DM Sans" w:eastAsia="DM Sans" w:hAnsi="DM Sans" w:cs="DM Sans"/>
          <w:color w:val="1A1A1A"/>
          <w:sz w:val="21"/>
          <w:szCs w:val="21"/>
        </w:rPr>
        <w:t>Where a client fails to make an upfront, periodic, or final payment in accordance with the agreed schedule, the fee-earner should:</w:t>
      </w:r>
    </w:p>
    <w:p w14:paraId="150C5A31"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Follow up in writing within 5 business days of the missed payment date.</w:t>
      </w:r>
    </w:p>
    <w:p w14:paraId="15ECD3AF"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Escalate to the supervising principal if payment is not received within a further 10 business days.</w:t>
      </w:r>
    </w:p>
    <w:p w14:paraId="398197CC" w14:textId="77777777" w:rsidR="004044AF" w:rsidRDefault="00000000">
      <w:pPr>
        <w:pStyle w:val="ListParagraph"/>
        <w:numPr>
          <w:ilvl w:val="0"/>
          <w:numId w:val="2"/>
        </w:numPr>
        <w:spacing w:after="90" w:line="290" w:lineRule="auto"/>
      </w:pPr>
      <w:r>
        <w:rPr>
          <w:rFonts w:ascii="DM Sans" w:eastAsia="DM Sans" w:hAnsi="DM Sans" w:cs="DM Sans"/>
          <w:color w:val="1A1A1A"/>
          <w:sz w:val="21"/>
          <w:szCs w:val="21"/>
        </w:rPr>
        <w:t>Consider, with principal approval, suspending further work on the matter until the account is brought up to date, subject to the firm's professional obligations to the client and the court or other parties.</w:t>
      </w:r>
    </w:p>
    <w:p w14:paraId="3BA941EE" w14:textId="77777777" w:rsidR="004044AF" w:rsidRDefault="00000000">
      <w:pPr>
        <w:pBdr>
          <w:bottom w:val="single" w:sz="12" w:space="4" w:color="0C5C52"/>
        </w:pBdr>
        <w:spacing w:before="400" w:after="200"/>
      </w:pPr>
      <w:r>
        <w:rPr>
          <w:rFonts w:ascii="Cormorant Garamond" w:eastAsia="Cormorant Garamond" w:hAnsi="Cormorant Garamond" w:cs="Cormorant Garamond"/>
          <w:b/>
          <w:bCs/>
          <w:color w:val="0D2B36"/>
          <w:sz w:val="26"/>
          <w:szCs w:val="26"/>
        </w:rPr>
        <w:t>6. PUSHBACK, RISK &amp; PRINCIPAL DISCRETION</w:t>
      </w:r>
    </w:p>
    <w:p w14:paraId="6753100A" w:rsidR="004044AF" w:rsidRDefault="00000000">
      <w:pPr>
        <w:spacing w:before="260" w:after="120"/>
      </w:pPr>
      <w:r>
        <w:rPr>
          <w:rFonts w:ascii="Cormorant Garamond" w:eastAsia="Cormorant Garamond" w:hAnsi="Cormorant Garamond" w:cs="Cormorant Garamond"/>
          <w:b/>
          <w:bCs/>
          <w:color w:val="0C5C52"/>
          <w:sz w:val="22"/>
          <w:szCs w:val="22"/>
        </w:rPr>
        <w:t>6.1 Client Pushback as a Risk Signal</w:t>
      </w:r>
    </w:p>
    <w:p w14:paraId="6753100B" w:rsidR="004044AF" w:rsidRDefault="00000000">
      <w:pPr>
        <w:pBdr>
          <w:left w:val="single" w:sz="24" w:space="10" w:color="0D2B36"/>
        </w:pBdr>
        <w:spacing w:before="80" w:after="200"/>
        <w:ind w:left="220"/>
      </w:pPr>
      <w:r>
        <w:rPr>
          <w:rFonts w:ascii="Cormorant Garamond" w:eastAsia="Cormorant Garamond" w:hAnsi="Cormorant Garamond" w:cs="Cormorant Garamond"/>
          <w:i/>
          <w:iCs/>
          <w:color w:val="0D2B36"/>
          <w:sz w:val="23"/>
          <w:szCs w:val="23"/>
        </w:rPr>
        <w:t>Every matter the firm declines to price properly is a matter it's choosing to subsidise later — or write off as wasted time, energy, resources and money.</w:t>
      </w:r>
    </w:p>
    <w:p w14:paraId="6753101A" w:rsidR="004044AF" w:rsidRDefault="00000000">
      <w:pPr>
        <w:spacing w:after="160" w:line="300" w:lineRule="auto"/>
      </w:pPr>
      <w:r>
        <w:rPr>
          <w:rFonts w:ascii="DM Sans" w:eastAsia="DM Sans" w:hAnsi="DM Sans" w:cs="DM Sans"/>
          <w:color w:val="1A1A1A"/>
          <w:sz w:val="21"/>
          <w:szCs w:val="21"/>
        </w:rPr>
        <w:t xml:space="preserve">If a prospective client negotiates hard against the disclosed upfront payment or periodic schedule before the costs agreement is signed, this is treated as a credit risk signal, not simply a negotiating point to concede. Before the retainer is accepted, the fee-earner must:</w:t>
      </w:r>
    </w:p>
    <w:p w14:paraId="6753102A" w:rsidR="004044AF" w:rsidRDefault="00000000">
      <w:pPr>
        <w:pStyle w:val="ListParagraph"/>
        <w:numPr>
          <w:ilvl w:val="0"/>
          <w:numId w:val="2"/>
        </w:numPr>
        <w:spacing w:after="90" w:line="290" w:lineRule="auto"/>
      </w:pPr>
      <w:r>
        <w:rPr>
          <w:rFonts w:ascii="DM Sans" w:eastAsia="DM Sans" w:hAnsi="DM Sans" w:cs="DM Sans"/>
          <w:color w:val="1A1A1A"/>
          <w:sz w:val="21"/>
          <w:szCs w:val="21"/>
        </w:rPr>
        <w:t>Record the pushback in a file note — what terms were resisted, and the reason given.</w:t>
      </w:r>
    </w:p>
    <w:p w14:paraId="6753103A" w:rsidR="004044AF" w:rsidRDefault="00000000">
      <w:pPr>
        <w:pStyle w:val="ListParagraph"/>
        <w:numPr>
          <w:ilvl w:val="0"/>
          <w:numId w:val="2"/>
        </w:numPr>
        <w:spacing w:after="90" w:line="290" w:lineRule="auto"/>
      </w:pPr>
      <w:r>
        <w:rPr>
          <w:rFonts w:ascii="DM Sans" w:eastAsia="DM Sans" w:hAnsi="DM Sans" w:cs="DM Sans"/>
          <w:color w:val="1A1A1A"/>
          <w:sz w:val="21"/>
          <w:szCs w:val="21"/>
        </w:rPr>
        <w:t>Assess whether it reflects a one-off circumstance or a genuine risk of non-payment.</w:t>
      </w:r>
    </w:p>
    <w:p w14:paraId="6753104A" w:rsidR="004044AF" w:rsidRDefault="00000000">
      <w:pPr>
        <w:pStyle w:val="ListParagraph"/>
        <w:numPr>
          <w:ilvl w:val="0"/>
          <w:numId w:val="2"/>
        </w:numPr>
        <w:spacing w:after="90" w:line="290" w:lineRule="auto"/>
      </w:pPr>
      <w:r>
        <w:rPr>
          <w:rFonts w:ascii="DM Sans" w:eastAsia="DM Sans" w:hAnsi="DM Sans" w:cs="DM Sans"/>
          <w:color w:val="1A1A1A"/>
          <w:sz w:val="21"/>
          <w:szCs w:val="21"/>
        </w:rPr>
        <w:t xml:space="preserve">Decide on one of three outcomes, based on that assessment:</w:t>
      </w:r>
    </w:p>
    <w:p w14:paraId="6753105A" w:rsidR="004044AF" w:rsidRDefault="00000000">
      <w:pPr>
        <w:pStyle w:val="ListParagraph"/>
        <w:numPr>
          <w:ilvl w:val="1"/>
          <w:numId w:val="2"/>
        </w:numPr>
        <w:spacing w:after="90" w:line="290" w:lineRule="auto"/>
      </w:pPr>
      <w:r>
        <w:rPr>
          <w:rFonts w:ascii="DM Sans" w:eastAsia="DM Sans" w:hAnsi="DM Sans" w:cs="DM Sans"/>
          <w:color w:val="1A1A1A"/>
          <w:sz w:val="21"/>
          <w:szCs w:val="21"/>
        </w:rPr>
        <w:t>Proceed on the original disclosed terms.</w:t>
      </w:r>
    </w:p>
    <w:p w14:paraId="6753106A" w:rsidR="004044AF" w:rsidRDefault="00000000">
      <w:pPr>
        <w:pStyle w:val="ListParagraph"/>
        <w:numPr>
          <w:ilvl w:val="1"/>
          <w:numId w:val="2"/>
        </w:numPr>
        <w:spacing w:after="90" w:line="290" w:lineRule="auto"/>
      </w:pPr>
      <w:r>
        <w:rPr>
          <w:rFonts w:ascii="DM Sans" w:eastAsia="DM Sans" w:hAnsi="DM Sans" w:cs="DM Sans"/>
          <w:color w:val="1A1A1A"/>
          <w:sz w:val="21"/>
          <w:szCs w:val="21"/>
        </w:rPr>
        <w:t>Ask for more protection before accepting the matter — a higher upfront percentage, a tighter periodic cadence, or security under Section 3.3.</w:t>
      </w:r>
    </w:p>
    <w:p w14:paraId="6753107A" w:rsidR="004044AF" w:rsidRDefault="00000000">
      <w:pPr>
        <w:pStyle w:val="ListParagraph"/>
        <w:numPr>
          <w:ilvl w:val="1"/>
          <w:numId w:val="2"/>
        </w:numPr>
        <w:spacing w:after="90" w:line="290" w:lineRule="auto"/>
      </w:pPr>
      <w:r>
        <w:rPr>
          <w:rFonts w:ascii="DM Sans" w:eastAsia="DM Sans" w:hAnsi="DM Sans" w:cs="DM Sans"/>
          <w:color w:val="1A1A1A"/>
          <w:sz w:val="21"/>
          <w:szCs w:val="21"/>
        </w:rPr>
        <w:t>Decline the matter.</w:t>
      </w:r>
    </w:p>
    <w:p w14:paraId="6753108A" w:rsidR="004044AF" w:rsidRDefault="00000000">
      <w:pPr>
        <w:pBdr>
          <w:left w:val="single" w:sz="18" w:space="8" w:color="3A9E91"/>
        </w:pBdr>
        <w:shd w:val="clear" w:color="auto" w:fill="EEF5F4"/>
        <w:spacing w:before="100" w:after="200"/>
        <w:ind w:left="200"/>
      </w:pPr>
      <w:r>
        <w:rPr>
          <w:rFonts w:ascii="DM Sans" w:eastAsia="DM Sans" w:hAnsi="DM Sans" w:cs="DM Sans"/>
          <w:b/>
          <w:bCs/>
          <w:color w:val="0C5C52"/>
          <w:sz w:val="19"/>
          <w:szCs w:val="19"/>
        </w:rPr>
        <w:t xml:space="preserve">NOTE — </w:t>
      </w:r>
      <w:r>
        <w:rPr>
          <w:rFonts w:ascii="DM Sans" w:eastAsia="DM Sans" w:hAnsi="DM Sans" w:cs="DM Sans"/>
          <w:i/>
          <w:iCs/>
          <w:color w:val="5B6B6E"/>
          <w:sz w:val="19"/>
          <w:szCs w:val="19"/>
        </w:rPr>
        <w:t>A fee-earner who is not a principal must speak to a principal before offering softer terms or declining a prospective matter on this basis. This keeps the risk call — and the reasoning behind it — visible beyond the individual fee-earner.</w:t>
      </w:r>
    </w:p>
    <w:p w14:paraId="6753109A" w:rsidR="004044AF" w:rsidRDefault="00000000">
      <w:pPr>
        <w:spacing w:before="260" w:after="120"/>
      </w:pPr>
      <w:r>
        <w:rPr>
          <w:rFonts w:ascii="Cormorant Garamond" w:eastAsia="Cormorant Garamond" w:hAnsi="Cormorant Garamond" w:cs="Cormorant Garamond"/>
          <w:b/>
          <w:bCs/>
          <w:color w:val="0C5C52"/>
          <w:sz w:val="22"/>
          <w:szCs w:val="22"/>
        </w:rPr>
        <w:t>6.2 Principal-Approved Exceptions</w:t>
      </w:r>
    </w:p>
    <w:p w14:paraId="6753129D" w14:textId="77777777" w:rsidR="004044AF" w:rsidRDefault="00000000">
      <w:pPr>
        <w:spacing w:after="160" w:line="300" w:lineRule="auto"/>
      </w:pPr>
      <w:r>
        <w:rPr>
          <w:rFonts w:ascii="DM Sans" w:eastAsia="DM Sans" w:hAnsi="DM Sans" w:cs="DM Sans"/>
          <w:color w:val="1A1A1A"/>
          <w:sz w:val="21"/>
          <w:szCs w:val="21"/>
        </w:rPr>
        <w:t xml:space="preserve">A principal may approve a departure from this policy for a specific matter — for example a lower upfront percentage for a long-standing client, or a different </w:t>
        <w:lastRenderedPageBreak/>
        <w:t xml:space="preserve">periodic schedule for an unusually structured matter. Any exception must be recorded in writing on the file before the costs agreement is issued.</w:t>
      </w:r>
    </w:p>
    <w:p w14:paraId="78FDF1FD" w14:textId="77777777" w:rsidR="004044AF" w:rsidRDefault="00000000">
      <w:pPr>
        <w:pBdr>
          <w:bottom w:val="single" w:sz="12" w:space="4" w:color="0C5C52"/>
        </w:pBdr>
        <w:spacing w:before="400" w:after="200"/>
      </w:pPr>
      <w:r>
        <w:rPr>
          <w:rFonts w:ascii="Cormorant Garamond" w:eastAsia="Cormorant Garamond" w:hAnsi="Cormorant Garamond" w:cs="Cormorant Garamond"/>
          <w:b/>
          <w:bCs/>
          <w:color w:val="0D2B36"/>
          <w:sz w:val="26"/>
          <w:szCs w:val="26"/>
        </w:rPr>
        <w:t>7. POLICY REVIEW</w:t>
      </w:r>
    </w:p>
    <w:p w14:paraId="413978C3" w14:textId="77777777" w:rsidR="004044AF" w:rsidRDefault="00000000">
      <w:pPr>
        <w:spacing w:after="160" w:line="300" w:lineRule="auto"/>
      </w:pPr>
      <w:r>
        <w:rPr>
          <w:rFonts w:ascii="DM Sans" w:eastAsia="DM Sans" w:hAnsi="DM Sans" w:cs="DM Sans"/>
          <w:color w:val="1A1A1A"/>
          <w:sz w:val="21"/>
          <w:szCs w:val="21"/>
        </w:rPr>
        <w:t>This policy is reviewed at least annually, and whenever the firm's write-off or debtor-days data indicates the current bands are not adequately protecting cash flow or work in progress.</w:t>
      </w:r>
    </w:p>
    <w:p w14:paraId="54DAA270" w14:textId="77777777" w:rsidR="004044AF" w:rsidRDefault="00000000">
      <w:pPr>
        <w:pBdr>
          <w:left w:val="single" w:sz="18" w:space="8" w:color="3A9E91"/>
        </w:pBdr>
        <w:shd w:val="clear" w:color="auto" w:fill="EEF5F4"/>
        <w:spacing w:before="100" w:after="200"/>
        <w:ind w:left="200"/>
      </w:pPr>
      <w:r>
        <w:rPr>
          <w:rFonts w:ascii="DM Sans" w:eastAsia="DM Sans" w:hAnsi="DM Sans" w:cs="DM Sans"/>
          <w:b/>
          <w:bCs/>
          <w:color w:val="0C5C52"/>
          <w:sz w:val="19"/>
          <w:szCs w:val="19"/>
        </w:rPr>
        <w:t xml:space="preserve">NOTE — </w:t>
      </w:r>
      <w:r>
        <w:rPr>
          <w:rFonts w:ascii="DM Sans" w:eastAsia="DM Sans" w:hAnsi="DM Sans" w:cs="DM Sans"/>
          <w:i/>
          <w:iCs/>
          <w:color w:val="5B6B6E"/>
          <w:sz w:val="19"/>
          <w:szCs w:val="19"/>
        </w:rPr>
        <w:t>Draft v1.0 — percentages, timeframes, and escalation windows are starting positions for the firm's principals to confirm before this is adopted as firm policy.</w:t>
      </w:r>
    </w:p>
    <w:sectPr w:rsidR="004044AF">
      <w:headerReference w:type="default" r:id="rId7"/>
      <w:footerReference w:type="default" r:id="rId8"/>
      <w:pgSz w:w="11906" w:h="16838"/>
      <w:pgMar w:top="9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9714C" w14:textId="77777777" w:rsidR="00D53324" w:rsidRDefault="00D53324">
      <w:r>
        <w:separator/>
      </w:r>
    </w:p>
  </w:endnote>
  <w:endnote w:type="continuationSeparator" w:id="0">
    <w:p w14:paraId="15290C89" w14:textId="77777777" w:rsidR="00D53324" w:rsidRDefault="00D53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morant Garamond">
    <w:altName w:val="Cambria"/>
    <w:panose1 w:val="020B0604020202020204"/>
    <w:charset w:val="00"/>
    <w:family w:val="roman"/>
    <w:notTrueType/>
    <w:pitch w:val="default"/>
  </w:font>
  <w:font w:name="DM Sans">
    <w:panose1 w:val="00000000000000000000"/>
    <w:charset w:val="4D"/>
    <w:family w:val="auto"/>
    <w:pitch w:val="variable"/>
    <w:sig w:usb0="8000002F" w:usb1="5000205B"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3573" w14:textId="77777777" w:rsidR="004044AF" w:rsidRDefault="00000000">
    <w:pPr>
      <w:tabs>
        <w:tab w:val="right" w:pos="9026"/>
      </w:tabs>
    </w:pPr>
    <w:r>
      <w:rPr>
        <w:rFonts w:ascii="DM Sans" w:eastAsia="DM Sans" w:hAnsi="DM Sans" w:cs="DM Sans"/>
        <w:color w:val="5B6B6E"/>
        <w:sz w:val="15"/>
        <w:szCs w:val="15"/>
      </w:rPr>
      <w:t xml:space="preserve">Internal policy — not for client </w:t>
    </w:r>
    <w:proofErr w:type="spellStart"/>
    <w:r>
      <w:rPr>
        <w:rFonts w:ascii="DM Sans" w:eastAsia="DM Sans" w:hAnsi="DM Sans" w:cs="DM Sans"/>
        <w:color w:val="5B6B6E"/>
        <w:sz w:val="15"/>
        <w:szCs w:val="15"/>
      </w:rPr>
      <w:t>distributionPage</w:t>
    </w:r>
    <w:proofErr w:type="spellEnd"/>
    <w:r>
      <w:rPr>
        <w:rFonts w:ascii="DM Sans" w:eastAsia="DM Sans" w:hAnsi="DM Sans" w:cs="DM Sans"/>
        <w:color w:val="5B6B6E"/>
        <w:sz w:val="15"/>
        <w:szCs w:val="15"/>
      </w:rPr>
      <w:t xml:space="preserve"> </w:t>
    </w:r>
    <w:r>
      <w:rPr>
        <w:rFonts w:ascii="DM Sans" w:eastAsia="DM Sans" w:hAnsi="DM Sans" w:cs="DM Sans"/>
        <w:color w:val="5B6B6E"/>
        <w:sz w:val="15"/>
        <w:szCs w:val="15"/>
      </w:rPr>
      <w:fldChar w:fldCharType="begin"/>
    </w:r>
    <w:r>
      <w:rPr>
        <w:rFonts w:ascii="DM Sans" w:eastAsia="DM Sans" w:hAnsi="DM Sans" w:cs="DM Sans"/>
        <w:color w:val="5B6B6E"/>
        <w:sz w:val="15"/>
        <w:szCs w:val="15"/>
      </w:rPr>
      <w:instrText>PAGE</w:instrText>
    </w:r>
    <w:r>
      <w:rPr>
        <w:rFonts w:ascii="DM Sans" w:eastAsia="DM Sans" w:hAnsi="DM Sans" w:cs="DM Sans"/>
        <w:color w:val="5B6B6E"/>
        <w:sz w:val="15"/>
        <w:szCs w:val="15"/>
      </w:rPr>
      <w:fldChar w:fldCharType="separate"/>
    </w:r>
    <w:r w:rsidR="007C21A8">
      <w:rPr>
        <w:rFonts w:ascii="DM Sans" w:eastAsia="DM Sans" w:hAnsi="DM Sans" w:cs="DM Sans"/>
        <w:noProof/>
        <w:color w:val="5B6B6E"/>
        <w:sz w:val="15"/>
        <w:szCs w:val="15"/>
      </w:rPr>
      <w:t>1</w:t>
    </w:r>
    <w:r>
      <w:rPr>
        <w:rFonts w:ascii="DM Sans" w:eastAsia="DM Sans" w:hAnsi="DM Sans" w:cs="DM Sans"/>
        <w:color w:val="5B6B6E"/>
        <w:sz w:val="15"/>
        <w:szCs w:val="15"/>
      </w:rPr>
      <w:fldChar w:fldCharType="end"/>
    </w:r>
    <w:r>
      <w:rPr>
        <w:rFonts w:ascii="DM Sans" w:eastAsia="DM Sans" w:hAnsi="DM Sans" w:cs="DM Sans"/>
        <w:color w:val="5B6B6E"/>
        <w:sz w:val="15"/>
        <w:szCs w:val="15"/>
      </w:rPr>
      <w:t xml:space="preserve"> of </w:t>
    </w:r>
    <w:r>
      <w:rPr>
        <w:rFonts w:ascii="DM Sans" w:eastAsia="DM Sans" w:hAnsi="DM Sans" w:cs="DM Sans"/>
        <w:color w:val="5B6B6E"/>
        <w:sz w:val="15"/>
        <w:szCs w:val="15"/>
      </w:rPr>
      <w:fldChar w:fldCharType="begin"/>
    </w:r>
    <w:r>
      <w:rPr>
        <w:rFonts w:ascii="DM Sans" w:eastAsia="DM Sans" w:hAnsi="DM Sans" w:cs="DM Sans"/>
        <w:color w:val="5B6B6E"/>
        <w:sz w:val="15"/>
        <w:szCs w:val="15"/>
      </w:rPr>
      <w:instrText>NUMPAGES</w:instrText>
    </w:r>
    <w:r>
      <w:rPr>
        <w:rFonts w:ascii="DM Sans" w:eastAsia="DM Sans" w:hAnsi="DM Sans" w:cs="DM Sans"/>
        <w:color w:val="5B6B6E"/>
        <w:sz w:val="15"/>
        <w:szCs w:val="15"/>
      </w:rPr>
      <w:fldChar w:fldCharType="separate"/>
    </w:r>
    <w:r w:rsidR="007C21A8">
      <w:rPr>
        <w:rFonts w:ascii="DM Sans" w:eastAsia="DM Sans" w:hAnsi="DM Sans" w:cs="DM Sans"/>
        <w:noProof/>
        <w:color w:val="5B6B6E"/>
        <w:sz w:val="15"/>
        <w:szCs w:val="15"/>
      </w:rPr>
      <w:t>2</w:t>
    </w:r>
    <w:r>
      <w:rPr>
        <w:rFonts w:ascii="DM Sans" w:eastAsia="DM Sans" w:hAnsi="DM Sans" w:cs="DM Sans"/>
        <w:color w:val="5B6B6E"/>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F7AF1" w14:textId="77777777" w:rsidR="00D53324" w:rsidRDefault="00D53324">
      <w:r>
        <w:separator/>
      </w:r>
    </w:p>
  </w:footnote>
  <w:footnote w:type="continuationSeparator" w:id="0">
    <w:p w14:paraId="40216056" w14:textId="77777777" w:rsidR="00D53324" w:rsidRDefault="00D53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3788" w14:textId="77777777" w:rsidR="004044AF" w:rsidRDefault="00000000">
    <w:pPr>
      <w:pBdr>
        <w:bottom w:val="single" w:sz="6" w:space="6" w:color="0C5C52"/>
      </w:pBdr>
      <w:tabs>
        <w:tab w:val="right" w:pos="9026"/>
      </w:tabs>
    </w:pPr>
    <w:r>
      <w:rPr>
        <w:rFonts w:ascii="DM Sans" w:eastAsia="DM Sans" w:hAnsi="DM Sans" w:cs="DM Sans"/>
        <w:b/>
        <w:bCs/>
        <w:color w:val="0D2B36"/>
        <w:sz w:val="16"/>
        <w:szCs w:val="16"/>
      </w:rPr>
      <w:t>[FIRM NAME]</w:t>
    </w:r>
    <w:r>
      <w:rPr>
        <w:rFonts w:ascii="DM Sans" w:eastAsia="DM Sans" w:hAnsi="DM Sans" w:cs="DM Sans"/>
        <w:color w:val="5B6B6E"/>
        <w:sz w:val="16"/>
        <w:szCs w:val="16"/>
      </w:rPr>
      <w:tab/>
      <w:t>Fee Payment Pricing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0127D"/>
    <w:multiLevelType w:val="hybridMultilevel"/>
    <w:tmpl w:val="E21CD97E"/>
    <w:lvl w:ilvl="0" w:tplc="695C4530">
      <w:start w:val="1"/>
      <w:numFmt w:val="bullet"/>
      <w:lvlText w:val="—"/>
      <w:lvlJc w:val="left"/>
      <w:pPr>
        <w:ind w:left="400" w:hanging="260"/>
      </w:pPr>
    </w:lvl>
    <w:lvl w:ilvl="1" w:tplc="A8044398">
      <w:start w:val="1"/>
      <w:numFmt w:val="bullet"/>
      <w:lvlText w:val="•"/>
      <w:lvlJc w:val="left"/>
      <w:pPr>
        <w:ind w:left="760" w:hanging="260"/>
      </w:pPr>
    </w:lvl>
    <w:lvl w:ilvl="2" w:tplc="AF246A0E">
      <w:numFmt w:val="decimal"/>
      <w:lvlText w:val=""/>
      <w:lvlJc w:val="left"/>
    </w:lvl>
    <w:lvl w:ilvl="3" w:tplc="2CE471C8">
      <w:numFmt w:val="decimal"/>
      <w:lvlText w:val=""/>
      <w:lvlJc w:val="left"/>
    </w:lvl>
    <w:lvl w:ilvl="4" w:tplc="78085382">
      <w:numFmt w:val="decimal"/>
      <w:lvlText w:val=""/>
      <w:lvlJc w:val="left"/>
    </w:lvl>
    <w:lvl w:ilvl="5" w:tplc="17DA8320">
      <w:numFmt w:val="decimal"/>
      <w:lvlText w:val=""/>
      <w:lvlJc w:val="left"/>
    </w:lvl>
    <w:lvl w:ilvl="6" w:tplc="D8222B2C">
      <w:numFmt w:val="decimal"/>
      <w:lvlText w:val=""/>
      <w:lvlJc w:val="left"/>
    </w:lvl>
    <w:lvl w:ilvl="7" w:tplc="AA006832">
      <w:numFmt w:val="decimal"/>
      <w:lvlText w:val=""/>
      <w:lvlJc w:val="left"/>
    </w:lvl>
    <w:lvl w:ilvl="8" w:tplc="B63CCCDE">
      <w:numFmt w:val="decimal"/>
      <w:lvlText w:val=""/>
      <w:lvlJc w:val="left"/>
    </w:lvl>
  </w:abstractNum>
  <w:abstractNum w:abstractNumId="1" w15:restartNumberingAfterBreak="0">
    <w:nsid w:val="4A8B75A1"/>
    <w:multiLevelType w:val="hybridMultilevel"/>
    <w:tmpl w:val="CB5C0120"/>
    <w:lvl w:ilvl="0" w:tplc="6CB4B378">
      <w:start w:val="1"/>
      <w:numFmt w:val="bullet"/>
      <w:lvlText w:val="●"/>
      <w:lvlJc w:val="left"/>
      <w:pPr>
        <w:ind w:left="720" w:hanging="360"/>
      </w:pPr>
    </w:lvl>
    <w:lvl w:ilvl="1" w:tplc="B09A7C70">
      <w:start w:val="1"/>
      <w:numFmt w:val="bullet"/>
      <w:lvlText w:val="○"/>
      <w:lvlJc w:val="left"/>
      <w:pPr>
        <w:ind w:left="1440" w:hanging="360"/>
      </w:pPr>
    </w:lvl>
    <w:lvl w:ilvl="2" w:tplc="347605BE">
      <w:start w:val="1"/>
      <w:numFmt w:val="bullet"/>
      <w:lvlText w:val="■"/>
      <w:lvlJc w:val="left"/>
      <w:pPr>
        <w:ind w:left="2160" w:hanging="360"/>
      </w:pPr>
    </w:lvl>
    <w:lvl w:ilvl="3" w:tplc="A94A2874">
      <w:start w:val="1"/>
      <w:numFmt w:val="bullet"/>
      <w:lvlText w:val="●"/>
      <w:lvlJc w:val="left"/>
      <w:pPr>
        <w:ind w:left="2880" w:hanging="360"/>
      </w:pPr>
    </w:lvl>
    <w:lvl w:ilvl="4" w:tplc="2DF0AEB0">
      <w:start w:val="1"/>
      <w:numFmt w:val="bullet"/>
      <w:lvlText w:val="○"/>
      <w:lvlJc w:val="left"/>
      <w:pPr>
        <w:ind w:left="3600" w:hanging="360"/>
      </w:pPr>
    </w:lvl>
    <w:lvl w:ilvl="5" w:tplc="11CAEF36">
      <w:start w:val="1"/>
      <w:numFmt w:val="bullet"/>
      <w:lvlText w:val="■"/>
      <w:lvlJc w:val="left"/>
      <w:pPr>
        <w:ind w:left="4320" w:hanging="360"/>
      </w:pPr>
    </w:lvl>
    <w:lvl w:ilvl="6" w:tplc="6A68AF46">
      <w:start w:val="1"/>
      <w:numFmt w:val="bullet"/>
      <w:lvlText w:val="●"/>
      <w:lvlJc w:val="left"/>
      <w:pPr>
        <w:ind w:left="5040" w:hanging="360"/>
      </w:pPr>
    </w:lvl>
    <w:lvl w:ilvl="7" w:tplc="A34ABEF0">
      <w:start w:val="1"/>
      <w:numFmt w:val="bullet"/>
      <w:lvlText w:val="●"/>
      <w:lvlJc w:val="left"/>
      <w:pPr>
        <w:ind w:left="5760" w:hanging="360"/>
      </w:pPr>
    </w:lvl>
    <w:lvl w:ilvl="8" w:tplc="B3569CC0">
      <w:start w:val="1"/>
      <w:numFmt w:val="bullet"/>
      <w:lvlText w:val="●"/>
      <w:lvlJc w:val="left"/>
      <w:pPr>
        <w:ind w:left="6480" w:hanging="360"/>
      </w:pPr>
    </w:lvl>
  </w:abstractNum>
  <w:num w:numId="1" w16cid:durableId="1517621415">
    <w:abstractNumId w:val="1"/>
    <w:lvlOverride w:ilvl="0">
      <w:startOverride w:val="1"/>
    </w:lvlOverride>
  </w:num>
  <w:num w:numId="2" w16cid:durableId="64186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4AF"/>
    <w:rsid w:val="004044AF"/>
    <w:rsid w:val="007C21A8"/>
    <w:rsid w:val="00D53324"/>
    <w:rsid w:val="00D83A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E0146B0"/>
  <w15:docId w15:val="{74DCA6CC-BE44-E84B-897E-2FFC4D07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1109</Words>
  <Characters>6327</Characters>
  <Application>Microsoft Office Word</Application>
  <DocSecurity>0</DocSecurity>
  <Lines>52</Lines>
  <Paragraphs>14</Paragraphs>
  <ScaleCrop>false</ScaleCrop>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Roy West | Explore Whitsundays</cp:lastModifiedBy>
  <cp:revision>2</cp:revision>
  <dcterms:created xsi:type="dcterms:W3CDTF">2026-07-28T22:38:00Z</dcterms:created>
  <dcterms:modified xsi:type="dcterms:W3CDTF">2026-07-28T22:41:00Z</dcterms:modified>
</cp:coreProperties>
</file>