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rmorant Garamond" w:cs="Cormorant Garamond" w:eastAsia="Cormorant Garamond" w:hAnsi="Cormorant Garamond"/>
          <w:b/>
          <w:bCs/>
          <w:color w:val="0D2B36"/>
          <w:sz w:val="52"/>
          <w:szCs w:val="52"/>
        </w:rPr>
        <w:t xml:space="preserve">FEE VARIATION</w:t>
      </w:r>
    </w:p>
    <w:p>
      <w:pPr>
        <w:spacing w:after="200"/>
      </w:pPr>
      <w:r>
        <w:rPr>
          <w:rFonts w:ascii="Cormorant Garamond" w:cs="Cormorant Garamond" w:eastAsia="Cormorant Garamond" w:hAnsi="Cormorant Garamond"/>
          <w:b/>
          <w:bCs/>
          <w:color w:val="0C5C52"/>
          <w:sz w:val="44"/>
          <w:szCs w:val="44"/>
        </w:rPr>
        <w:t xml:space="preserve">MID-MATTER POLICY</w:t>
      </w:r>
    </w:p>
    <w:p>
      <w:pPr>
        <w:pBdr>
          <w:bottom w:val="single" w:color="3A9E91" w:sz="18" w:space="10"/>
        </w:pBdr>
        <w:spacing w:after="240"/>
      </w:pPr>
      <w:r>
        <w:rPr>
          <w:rFonts w:ascii="DM Sans" w:cs="DM Sans" w:eastAsia="DM Sans" w:hAnsi="DM Sans"/>
          <w:i/>
          <w:iCs/>
          <w:color w:val="5B6B6E"/>
          <w:sz w:val="20"/>
          <w:szCs w:val="20"/>
        </w:rPr>
        <w:t xml:space="preserve">[Firm Name]  ·  Version 1.0 (template)  ·  Effective date: TBC  ·  Owner: [Principal Name]</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Every dollar of overage absorbed in silence is a promise the firm makes to itself never to raise the subject again. It can't keep that promise on the next matter, or the one after that.</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1. PURPOSE</w:t>
      </w:r>
    </w:p>
    <w:p>
      <w:pPr>
        <w:spacing w:after="160" w:line="300" w:lineRule="auto"/>
      </w:pPr>
      <w:r>
        <w:rPr>
          <w:rFonts w:ascii="DM Sans" w:cs="DM Sans" w:eastAsia="DM Sans" w:hAnsi="DM Sans"/>
          <w:color w:val="1A1A1A"/>
          <w:sz w:val="21"/>
          <w:szCs w:val="21"/>
        </w:rPr>
        <w:t xml:space="preserve">This policy sets the firm's standard approach to conversations that happen when actual work on a matter is exceeding, or is projected to exceed, the fee estimate originally disclosed to the client. It exists because this conversation is usually avoided rather than had — and every time it's avoided, the firm quietly funds the gap itself.</w:t>
      </w:r>
    </w:p>
    <w:p>
      <w:pPr>
        <w:spacing w:after="160" w:line="300" w:lineRule="auto"/>
      </w:pPr>
      <w:r>
        <w:rPr>
          <w:rFonts w:ascii="DM Sans" w:cs="DM Sans" w:eastAsia="DM Sans" w:hAnsi="DM Sans"/>
          <w:color w:val="1A1A1A"/>
          <w:sz w:val="21"/>
          <w:szCs w:val="21"/>
        </w:rPr>
        <w:t xml:space="preserve">How this moment is handled is a live positioning test. A firm that absorbs overages by default, to sidestep an awkward call, is making the same mistake as leaving pricing to unstructured judgement: an important decision, made under social pressure, by whoever happens to be running the file that week — with no consistency and no record of why.</w:t>
      </w:r>
    </w:p>
    <w:p>
      <w:pPr>
        <w:spacing w:after="160" w:line="300" w:lineRule="auto"/>
      </w:pPr>
      <w:r>
        <w:rPr>
          <w:rFonts w:ascii="DM Sans" w:cs="DM Sans" w:eastAsia="DM Sans" w:hAnsi="DM Sans"/>
          <w:color w:val="1A1A1A"/>
          <w:sz w:val="21"/>
          <w:szCs w:val="21"/>
        </w:rPr>
        <w:t xml:space="preserve">This policy operates alongside the firm's costs disclosure obligations under its state or territory's legal profession legislation. Where actual or likely costs are substantially exceeding the original disclosure, updated disclosure to the client may be a legal requirement, not just good practice — this policy sets the internal process for getting there in good time.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2. SCOPE</w:t>
      </w:r>
    </w:p>
    <w:p>
      <w:pPr>
        <w:spacing w:after="160" w:line="300" w:lineRule="auto"/>
      </w:pPr>
      <w:r>
        <w:rPr>
          <w:rFonts w:ascii="DM Sans" w:cs="DM Sans" w:eastAsia="DM Sans" w:hAnsi="DM Sans"/>
          <w:color w:val="1A1A1A"/>
          <w:sz w:val="21"/>
          <w:szCs w:val="21"/>
        </w:rPr>
        <w:t xml:space="preserve">This policy applies whenever work performed, or reasonably projected to complete the matter, exceeds the fee estimate disclosed in the client's costs agreement — regardless of matter type, file length, or how the variance arose.</w:t>
      </w:r>
    </w:p>
    <w:p>
      <w:pPr>
        <w:spacing w:after="160" w:line="300" w:lineRule="auto"/>
      </w:pPr>
      <w:r>
        <w:rPr>
          <w:rFonts w:ascii="DM Sans" w:cs="DM Sans" w:eastAsia="DM Sans" w:hAnsi="DM Sans"/>
          <w:color w:val="1A1A1A"/>
          <w:sz w:val="21"/>
          <w:szCs w:val="21"/>
        </w:rPr>
        <w:t xml:space="preserve">It does not apply where a variation was already anticipated and priced into the original scope (for example, a disclosed range with defined triggers), or where the matter is covered by a fixed-fee product with its own published terms.</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3. RECOGNISING AN OVERAGE EARLY</w:t>
      </w:r>
    </w:p>
    <w:p>
      <w:pPr>
        <w:spacing w:after="160" w:line="300" w:lineRule="auto"/>
      </w:pPr>
      <w:r>
        <w:rPr>
          <w:rFonts w:ascii="DM Sans" w:cs="DM Sans" w:eastAsia="DM Sans" w:hAnsi="DM Sans"/>
          <w:color w:val="1A1A1A"/>
          <w:sz w:val="21"/>
          <w:szCs w:val="21"/>
        </w:rPr>
        <w:t xml:space="preserve">An overage is far easier to raise at 15% over estimate than at 60%. The fee-earner should treat the following as the trigger to act, not the point at which the client eventually notices:</w:t>
      </w:r>
    </w:p>
    <w:p>
      <w:pPr>
        <w:pStyle w:val="ListParagraph"/>
        <w:numPr>
          <w:ilvl w:val="0"/>
          <w:numId w:val="2"/>
        </w:numPr>
        <w:spacing w:after="90" w:line="290" w:lineRule="auto"/>
      </w:pPr>
      <w:r>
        <w:rPr>
          <w:rFonts w:ascii="DM Sans" w:cs="DM Sans" w:eastAsia="DM Sans" w:hAnsi="DM Sans"/>
          <w:color w:val="1A1A1A"/>
          <w:sz w:val="21"/>
          <w:szCs w:val="21"/>
        </w:rPr>
        <w:t xml:space="preserve">Work in progress reaches approximately 80% of the original estimate with substantive work still outstanding.</w:t>
      </w:r>
    </w:p>
    <w:p>
      <w:pPr>
        <w:pStyle w:val="ListParagraph"/>
        <w:numPr>
          <w:ilvl w:val="0"/>
          <w:numId w:val="2"/>
        </w:numPr>
        <w:spacing w:after="90" w:line="290" w:lineRule="auto"/>
      </w:pPr>
      <w:r>
        <w:rPr>
          <w:rFonts w:ascii="DM Sans" w:cs="DM Sans" w:eastAsia="DM Sans" w:hAnsi="DM Sans"/>
          <w:color w:val="1A1A1A"/>
          <w:sz w:val="21"/>
          <w:szCs w:val="21"/>
        </w:rPr>
        <w:t xml:space="preserve">The matter's scope has changed — new issues, new parties, or new complexity not contemplated in the original estimate.</w:t>
      </w:r>
    </w:p>
    <w:p>
      <w:pPr>
        <w:pStyle w:val="ListParagraph"/>
        <w:numPr>
          <w:ilvl w:val="0"/>
          <w:numId w:val="2"/>
        </w:numPr>
        <w:spacing w:after="90" w:line="290" w:lineRule="auto"/>
      </w:pPr>
      <w:r>
        <w:rPr>
          <w:rFonts w:ascii="DM Sans" w:cs="DM Sans" w:eastAsia="DM Sans" w:hAnsi="DM Sans"/>
          <w:color w:val="1A1A1A"/>
          <w:sz w:val="21"/>
          <w:szCs w:val="21"/>
        </w:rPr>
        <w:t xml:space="preserve">Two consecutive billing cycles where invoiced fees are tracking meaningfully ahead of the proportion of work completed.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This sits alongside the firm's periodic payment monitoring — a matter can be paid on schedule and still be running well over its original estimate. The two are tracked separately.</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4. THE CONVERSATION</w:t>
      </w:r>
    </w:p>
    <w:p>
      <w:pPr>
        <w:spacing w:after="160" w:line="300" w:lineRule="auto"/>
      </w:pPr>
      <w:r>
        <w:rPr>
          <w:rFonts w:ascii="DM Sans" w:cs="DM Sans" w:eastAsia="DM Sans" w:hAnsi="DM Sans"/>
          <w:color w:val="1A1A1A"/>
          <w:sz w:val="21"/>
          <w:szCs w:val="21"/>
        </w:rPr>
        <w:t xml:space="preserve">Once an overage is identified, the fee-earner chooses one of three paths — deliberately, and before the next invoice is raised, not after.</w:t>
      </w:r>
    </w:p>
    <w:p>
      <w:pPr>
        <w:spacing w:after="120" w:before="260"/>
      </w:pPr>
      <w:r>
        <w:rPr>
          <w:rFonts w:ascii="Cormorant Garamond" w:cs="Cormorant Garamond" w:eastAsia="Cormorant Garamond" w:hAnsi="Cormorant Garamond"/>
          <w:b/>
          <w:bCs/>
          <w:color w:val="0C5C52"/>
          <w:sz w:val="22"/>
          <w:szCs w:val="22"/>
        </w:rPr>
        <w:t xml:space="preserve">4.1 Absorb It</w:t>
      </w:r>
    </w:p>
    <w:p>
      <w:pPr>
        <w:spacing w:after="160" w:line="300" w:lineRule="auto"/>
      </w:pPr>
      <w:r>
        <w:rPr>
          <w:rFonts w:ascii="DM Sans" w:cs="DM Sans" w:eastAsia="DM Sans" w:hAnsi="DM Sans"/>
          <w:color w:val="1A1A1A"/>
          <w:sz w:val="21"/>
          <w:szCs w:val="21"/>
        </w:rPr>
        <w:t xml:space="preserve">For small variances clearly caused by the firm's own inefficiency or a minor misestimate, the fee-earner may choose to absorb the overage rather than raise it with the client. This is a conscious decision, not a default — variances above a set threshold require principal sign-off before being written off.</w:t>
      </w:r>
    </w:p>
    <w:p>
      <w:pPr>
        <w:spacing w:after="120" w:before="260"/>
      </w:pPr>
      <w:r>
        <w:rPr>
          <w:rFonts w:ascii="Cormorant Garamond" w:cs="Cormorant Garamond" w:eastAsia="Cormorant Garamond" w:hAnsi="Cormorant Garamond"/>
          <w:b/>
          <w:bCs/>
          <w:color w:val="0C5C52"/>
          <w:sz w:val="22"/>
          <w:szCs w:val="22"/>
        </w:rPr>
        <w:t xml:space="preserve">4.2 Disclose &amp; Vary It</w:t>
      </w:r>
    </w:p>
    <w:p>
      <w:pPr>
        <w:spacing w:after="160" w:line="300" w:lineRule="auto"/>
      </w:pPr>
      <w:r>
        <w:rPr>
          <w:rFonts w:ascii="DM Sans" w:cs="DM Sans" w:eastAsia="DM Sans" w:hAnsi="DM Sans"/>
          <w:color w:val="1A1A1A"/>
          <w:sz w:val="21"/>
          <w:szCs w:val="21"/>
        </w:rPr>
        <w:t xml:space="preserve">The default path. The fee-earner contacts the client before further billable work continues on the additional scope, explains plainly why the estimate is being revised, and issues updated disclosure in writing. This is the mid-matter equivalent of the upfront costs agreement — the terms are reset in the open, not discovered on the final bill.</w:t>
      </w:r>
    </w:p>
    <w:p>
      <w:pPr>
        <w:spacing w:after="120" w:before="260"/>
      </w:pPr>
      <w:r>
        <w:rPr>
          <w:rFonts w:ascii="Cormorant Garamond" w:cs="Cormorant Garamond" w:eastAsia="Cormorant Garamond" w:hAnsi="Cormorant Garamond"/>
          <w:b/>
          <w:bCs/>
          <w:color w:val="0C5C52"/>
          <w:sz w:val="22"/>
          <w:szCs w:val="22"/>
        </w:rPr>
        <w:t xml:space="preserve">4.3 Stop &amp; Reassess</w:t>
      </w:r>
    </w:p>
    <w:p>
      <w:pPr>
        <w:spacing w:after="160" w:line="300" w:lineRule="auto"/>
      </w:pPr>
      <w:r>
        <w:rPr>
          <w:rFonts w:ascii="DM Sans" w:cs="DM Sans" w:eastAsia="DM Sans" w:hAnsi="DM Sans"/>
          <w:color w:val="1A1A1A"/>
          <w:sz w:val="21"/>
          <w:szCs w:val="21"/>
        </w:rPr>
        <w:t xml:space="preserve">Where the overage is large, open-ended, or the cause is unclear, the fee-earner pauses further work on the matter until revised terms are agreed with the client and, where appropriate, a principal has reviewed the file.</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“Absorb It” should be the exception. A firm where absorbing overages is the normal response has, in effect, made its estimates optional — for the client, and for itself.</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5. CLIENT RESISTANCE AS A SIGNAL</w:t>
      </w:r>
    </w:p>
    <w:p>
      <w:pPr>
        <w:pBdr>
          <w:left w:val="single" w:color="0D2B36" w:sz="24" w:space="10"/>
        </w:pBdr>
        <w:spacing w:after="280" w:before="160"/>
        <w:ind w:left="220"/>
      </w:pPr>
      <w:r>
        <w:rPr>
          <w:rFonts w:ascii="Cormorant Garamond" w:cs="Cormorant Garamond" w:eastAsia="Cormorant Garamond" w:hAnsi="Cormorant Garamond"/>
          <w:i/>
          <w:iCs/>
          <w:color w:val="0D2B36"/>
          <w:sz w:val="25"/>
          <w:szCs w:val="25"/>
        </w:rPr>
        <w:t xml:space="preserve">A client who disputes a properly explained, properly timed variation is questioning more than one invoice — they're questioning whether the firm's estimates mean anything at all.</w:t>
      </w:r>
    </w:p>
    <w:p>
      <w:pPr>
        <w:spacing w:after="160" w:line="300" w:lineRule="auto"/>
      </w:pPr>
      <w:r>
        <w:rPr>
          <w:rFonts w:ascii="DM Sans" w:cs="DM Sans" w:eastAsia="DM Sans" w:hAnsi="DM Sans"/>
          <w:color w:val="1A1A1A"/>
          <w:sz w:val="21"/>
          <w:szCs w:val="21"/>
        </w:rPr>
        <w:t xml:space="preserve">If a client pushes back on a disclosed variation — disputing the reason, the timing, or the amount — this is treated as a signal about the relationship, not just a billing dispute to smooth over. Before continuing, the fee-earner should:</w:t>
      </w:r>
    </w:p>
    <w:p>
      <w:pPr>
        <w:pStyle w:val="ListParagraph"/>
        <w:numPr>
          <w:ilvl w:val="0"/>
          <w:numId w:val="2"/>
        </w:numPr>
        <w:spacing w:after="90" w:line="290" w:lineRule="auto"/>
      </w:pPr>
      <w:r>
        <w:rPr>
          <w:rFonts w:ascii="DM Sans" w:cs="DM Sans" w:eastAsia="DM Sans" w:hAnsi="DM Sans"/>
          <w:color w:val="1A1A1A"/>
          <w:sz w:val="21"/>
          <w:szCs w:val="21"/>
        </w:rPr>
        <w:t xml:space="preserve">Note the resistance in a file note — what was disputed, and the reason given.</w:t>
      </w:r>
    </w:p>
    <w:p>
      <w:pPr>
        <w:pStyle w:val="ListParagraph"/>
        <w:numPr>
          <w:ilvl w:val="0"/>
          <w:numId w:val="2"/>
        </w:numPr>
        <w:spacing w:after="90" w:line="290" w:lineRule="auto"/>
      </w:pPr>
      <w:r>
        <w:rPr>
          <w:rFonts w:ascii="DM Sans" w:cs="DM Sans" w:eastAsia="DM Sans" w:hAnsi="DM Sans"/>
          <w:color w:val="1A1A1A"/>
          <w:sz w:val="21"/>
          <w:szCs w:val="21"/>
        </w:rPr>
        <w:t xml:space="preserve">Assess whether this is a one-off reaction to a genuine surprise, or a pattern for this client.</w:t>
      </w:r>
    </w:p>
    <w:p>
      <w:pPr>
        <w:pStyle w:val="ListParagraph"/>
        <w:numPr>
          <w:ilvl w:val="0"/>
          <w:numId w:val="2"/>
        </w:numPr>
        <w:spacing w:after="90" w:line="290" w:lineRule="auto"/>
      </w:pPr>
      <w:r>
        <w:rPr>
          <w:rFonts w:ascii="DM Sans" w:cs="DM Sans" w:eastAsia="DM Sans" w:hAnsi="DM Sans"/>
          <w:color w:val="1A1A1A"/>
          <w:sz w:val="21"/>
          <w:szCs w:val="21"/>
        </w:rPr>
        <w:t xml:space="preserve">Decide: proceed with the revised terms, escalate to a principal, or treat repeated resistance across matters as data on whether this client is priced — and retained — correctly.</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A fee-earner who is not a principal should raise a pattern of resistance to fee variations with a principal, in the same way pushback on upfront terms is escalated at the start of a matter.</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6. EXCEPTIONS &amp; PRINCIPAL DISCRETION</w:t>
      </w:r>
    </w:p>
    <w:p>
      <w:pPr>
        <w:spacing w:after="160" w:line="300" w:lineRule="auto"/>
      </w:pPr>
      <w:r>
        <w:rPr>
          <w:rFonts w:ascii="DM Sans" w:cs="DM Sans" w:eastAsia="DM Sans" w:hAnsi="DM Sans"/>
          <w:color w:val="1A1A1A"/>
          <w:sz w:val="21"/>
          <w:szCs w:val="21"/>
        </w:rPr>
        <w:t xml:space="preserve">A principal may approve a departure from this policy for a specific matter — for example, absorbing a larger-than-usual overage for a strategic client, or extending additional flexibility on timing. Any exception must be recorded in writing on the file.</w:t>
      </w:r>
    </w:p>
    <w:p>
      <w:pPr>
        <w:pBdr>
          <w:bottom w:val="single" w:color="0C5C52" w:sz="12" w:space="4"/>
        </w:pBdr>
        <w:spacing w:after="200" w:before="400"/>
      </w:pPr>
      <w:r>
        <w:rPr>
          <w:rFonts w:ascii="Cormorant Garamond" w:cs="Cormorant Garamond" w:eastAsia="Cormorant Garamond" w:hAnsi="Cormorant Garamond"/>
          <w:b/>
          <w:bCs/>
          <w:color w:val="0D2B36"/>
          <w:sz w:val="26"/>
          <w:szCs w:val="26"/>
        </w:rPr>
        <w:t xml:space="preserve">7. POLICY REVIEW</w:t>
      </w:r>
    </w:p>
    <w:p>
      <w:pPr>
        <w:spacing w:after="160" w:line="300" w:lineRule="auto"/>
      </w:pPr>
      <w:r>
        <w:rPr>
          <w:rFonts w:ascii="DM Sans" w:cs="DM Sans" w:eastAsia="DM Sans" w:hAnsi="DM Sans"/>
          <w:color w:val="1A1A1A"/>
          <w:sz w:val="21"/>
          <w:szCs w:val="21"/>
        </w:rPr>
        <w:t xml:space="preserve">This policy is reviewed at least annually, and whenever the firm's write-off or realisation data indicates overages are being absorbed more often, or more broadly, than intended.</w:t>
      </w:r>
    </w:p>
    <w:p>
      <w:pPr>
        <w:pBdr>
          <w:left w:val="single" w:color="3A9E91" w:sz="18" w:space="8"/>
        </w:pBdr>
        <w:shd w:fill="EEF5F4" w:color="auto" w:val="clear"/>
        <w:spacing w:after="200" w:before="100"/>
        <w:ind w:left="200"/>
      </w:pPr>
      <w:r>
        <w:rPr>
          <w:rFonts w:ascii="DM Sans" w:cs="DM Sans" w:eastAsia="DM Sans" w:hAnsi="DM Sans"/>
          <w:b/>
          <w:bCs/>
          <w:color w:val="0C5C52"/>
          <w:sz w:val="19"/>
          <w:szCs w:val="19"/>
        </w:rPr>
        <w:t xml:space="preserve">NOTE — </w:t>
      </w:r>
      <w:r>
        <w:rPr>
          <w:rFonts w:ascii="DM Sans" w:cs="DM Sans" w:eastAsia="DM Sans" w:hAnsi="DM Sans"/>
          <w:i/>
          <w:iCs/>
          <w:color w:val="5B6B6E"/>
          <w:sz w:val="19"/>
          <w:szCs w:val="19"/>
        </w:rPr>
        <w:t xml:space="preserve">Draft v1.0 — thresholds, triggers, and escalation points are starting positions for the firm's principals to confirm before this is adopted as firm policy.</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DM Sans" w:cs="DM Sans" w:eastAsia="DM Sans" w:hAnsi="DM Sans"/>
        <w:color w:val="5B6B6E"/>
        <w:sz w:val="15"/>
        <w:szCs w:val="15"/>
      </w:rPr>
      <w:t xml:space="preserve">Internal policy — not for client distribution</w:t>
    </w:r>
    <w:r>
      <w:rPr>
        <w:rFonts w:ascii="DM Sans" w:cs="DM Sans" w:eastAsia="DM Sans" w:hAnsi="DM Sans"/>
        <w:color w:val="5B6B6E"/>
        <w:sz w:val="15"/>
        <w:szCs w:val="15"/>
      </w:rPr>
      <w:t xml:space="preserve">Page </w:t>
    </w:r>
    <w:r>
      <w:rPr>
        <w:rFonts w:ascii="DM Sans" w:cs="DM Sans" w:eastAsia="DM Sans" w:hAnsi="DM Sans"/>
        <w:color w:val="5B6B6E"/>
        <w:sz w:val="15"/>
        <w:szCs w:val="15"/>
      </w:rPr>
      <w:fldChar w:fldCharType="begin"/>
      <w:instrText xml:space="preserve">PAGE</w:instrText>
      <w:fldChar w:fldCharType="separate"/>
      <w:fldChar w:fldCharType="end"/>
    </w:r>
    <w:r>
      <w:rPr>
        <w:rFonts w:ascii="DM Sans" w:cs="DM Sans" w:eastAsia="DM Sans" w:hAnsi="DM Sans"/>
        <w:color w:val="5B6B6E"/>
        <w:sz w:val="15"/>
        <w:szCs w:val="15"/>
      </w:rPr>
      <w:t xml:space="preserve"> of </w:t>
    </w:r>
    <w:r>
      <w:rPr>
        <w:rFonts w:ascii="DM Sans" w:cs="DM Sans" w:eastAsia="DM Sans" w:hAnsi="DM Sans"/>
        <w:color w:val="5B6B6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5C52" w:sz="6" w:space="6"/>
      </w:pBdr>
      <w:tabs>
        <w:tab w:val="right" w:pos="9026"/>
      </w:tabs>
    </w:pPr>
    <w:r>
      <w:rPr>
        <w:rFonts w:ascii="DM Sans" w:cs="DM Sans" w:eastAsia="DM Sans" w:hAnsi="DM Sans"/>
        <w:b/>
        <w:bCs/>
        <w:color w:val="0D2B36"/>
        <w:sz w:val="16"/>
        <w:szCs w:val="16"/>
      </w:rPr>
      <w:t xml:space="preserve">[FIRM NAME]</w:t>
    </w:r>
    <w:r>
      <w:rPr>
        <w:rFonts w:ascii="DM Sans" w:cs="DM Sans" w:eastAsia="DM Sans" w:hAnsi="DM Sans"/>
        <w:color w:val="5B6B6E"/>
        <w:sz w:val="16"/>
        <w:szCs w:val="16"/>
      </w:rPr>
      <w:t xml:space="preserve">	Fee Variation Mid-Matter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2026-07-29T03:58:45.662Z</dcterms:created>
  <dcterms:modified xsi:type="dcterms:W3CDTF">2026-07-29T03:58:45.674Z</dcterms:modified>
</cp:coreProperties>
</file>

<file path=docProps/custom.xml><?xml version="1.0" encoding="utf-8"?>
<Properties xmlns="http://schemas.openxmlformats.org/officeDocument/2006/custom-properties" xmlns:vt="http://schemas.openxmlformats.org/officeDocument/2006/docPropsVTypes"/>
</file>