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rmorant Garamond" w:cs="Cormorant Garamond" w:eastAsia="Cormorant Garamond" w:hAnsi="Cormorant Garamond"/>
          <w:b/>
          <w:bCs/>
          <w:color w:val="0D2B36"/>
          <w:sz w:val="52"/>
          <w:szCs w:val="52"/>
        </w:rPr>
        <w:t xml:space="preserve">FREE ADVICE</w:t>
      </w:r>
    </w:p>
    <w:p>
      <w:pPr>
        <w:spacing w:after="200"/>
      </w:pPr>
      <w:r>
        <w:rPr>
          <w:rFonts w:ascii="Cormorant Garamond" w:cs="Cormorant Garamond" w:eastAsia="Cormorant Garamond" w:hAnsi="Cormorant Garamond"/>
          <w:b/>
          <w:bCs/>
          <w:color w:val="0C5C52"/>
          <w:sz w:val="52"/>
          <w:szCs w:val="52"/>
        </w:rPr>
        <w:t xml:space="preserve">POLICY</w:t>
      </w:r>
    </w:p>
    <w:p>
      <w:pPr>
        <w:pBdr>
          <w:bottom w:val="single" w:color="3A9E91" w:sz="18" w:space="10"/>
        </w:pBdr>
        <w:spacing w:after="240"/>
      </w:pPr>
      <w:r>
        <w:rPr>
          <w:rFonts w:ascii="DM Sans" w:cs="DM Sans" w:eastAsia="DM Sans" w:hAnsi="DM Sans"/>
          <w:i/>
          <w:iCs/>
          <w:color w:val="5B6B6E"/>
          <w:sz w:val="20"/>
          <w:szCs w:val="20"/>
        </w:rPr>
        <w:t xml:space="preserve">[Firm Name]  ·  Version 1.0 (template)  ·  Effective date: TBC  ·  Owner: [Principal Name]</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Every question answered for free is a decision, not an accident. The moment a client asks for advice outside a scoped matter, the firm is choosing what happens next — whether it means to or not.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1. PURPOSE</w:t>
      </w:r>
    </w:p>
    <w:p>
      <w:pPr>
        <w:spacing w:after="160" w:line="300" w:lineRule="auto"/>
      </w:pPr>
      <w:r>
        <w:rPr>
          <w:rFonts w:ascii="DM Sans" w:cs="DM Sans" w:eastAsia="DM Sans" w:hAnsi="DM Sans"/>
          <w:color w:val="1A1A1A"/>
          <w:sz w:val="21"/>
          <w:szCs w:val="21"/>
        </w:rPr>
        <w:t xml:space="preserve">This policy sets the firm's standard approach to informal advice requests — questions asked outside a scoped, costs-agreement-covered matter, whether from a prospective client, a current client raising something unrelated, or a past client returning with a new issue. It exists because free advice is rarely free: handled ad hoc, one piece at a time, it is one of the largest sources of unbilled time in most practices.</w:t>
      </w:r>
    </w:p>
    <w:p>
      <w:pPr>
        <w:spacing w:after="160" w:line="300" w:lineRule="auto"/>
      </w:pPr>
      <w:r>
        <w:rPr>
          <w:rFonts w:ascii="DM Sans" w:cs="DM Sans" w:eastAsia="DM Sans" w:hAnsi="DM Sans"/>
          <w:color w:val="1A1A1A"/>
          <w:sz w:val="21"/>
          <w:szCs w:val="21"/>
        </w:rPr>
        <w:t xml:space="preserve">The response to a quick question is also a filter: how a client reacts to being asked to formalise advice into a scoped, priced piece of work is information about whether the relationship is priced correctly — not just about this one question.</w:t>
      </w:r>
    </w:p>
    <w:p>
      <w:pPr>
        <w:spacing w:after="160" w:line="300" w:lineRule="auto"/>
      </w:pPr>
      <w:r>
        <w:rPr>
          <w:rFonts w:ascii="DM Sans" w:cs="DM Sans" w:eastAsia="DM Sans" w:hAnsi="DM Sans"/>
          <w:color w:val="1A1A1A"/>
          <w:sz w:val="21"/>
          <w:szCs w:val="21"/>
        </w:rPr>
        <w:t xml:space="preserve">This policy does not affect the firm's costs disclosure obligations under its state or territory's legal profession legislation. Once a response constitutes advice on a specific matter for a specific client, ordinary disclosure and costs agreement obligations apply.</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2. SCOPE</w:t>
      </w:r>
    </w:p>
    <w:p>
      <w:pPr>
        <w:spacing w:after="160" w:line="300" w:lineRule="auto"/>
      </w:pPr>
      <w:r>
        <w:rPr>
          <w:rFonts w:ascii="DM Sans" w:cs="DM Sans" w:eastAsia="DM Sans" w:hAnsi="DM Sans"/>
          <w:color w:val="1A1A1A"/>
          <w:sz w:val="21"/>
          <w:szCs w:val="21"/>
        </w:rPr>
        <w:t xml:space="preserve">This policy applies to:</w:t>
      </w:r>
    </w:p>
    <w:p>
      <w:pPr>
        <w:pStyle w:val="ListParagraph"/>
        <w:numPr>
          <w:ilvl w:val="0"/>
          <w:numId w:val="2"/>
        </w:numPr>
        <w:spacing w:after="90" w:line="290" w:lineRule="auto"/>
      </w:pPr>
      <w:r>
        <w:rPr>
          <w:rFonts w:ascii="DM Sans" w:cs="DM Sans" w:eastAsia="DM Sans" w:hAnsi="DM Sans"/>
          <w:color w:val="1A1A1A"/>
          <w:sz w:val="21"/>
          <w:szCs w:val="21"/>
        </w:rPr>
        <w:t xml:space="preserve">General or prospective enquiries not yet the subject of a retainer.</w:t>
      </w:r>
    </w:p>
    <w:p>
      <w:pPr>
        <w:pStyle w:val="ListParagraph"/>
        <w:numPr>
          <w:ilvl w:val="0"/>
          <w:numId w:val="2"/>
        </w:numPr>
        <w:spacing w:after="90" w:line="290" w:lineRule="auto"/>
      </w:pPr>
      <w:r>
        <w:rPr>
          <w:rFonts w:ascii="DM Sans" w:cs="DM Sans" w:eastAsia="DM Sans" w:hAnsi="DM Sans"/>
          <w:color w:val="1A1A1A"/>
          <w:sz w:val="21"/>
          <w:szCs w:val="21"/>
        </w:rPr>
        <w:t xml:space="preserve">A current client raising a matter unrelated to the one already scoped and being billed.</w:t>
      </w:r>
    </w:p>
    <w:p>
      <w:pPr>
        <w:pStyle w:val="ListParagraph"/>
        <w:numPr>
          <w:ilvl w:val="0"/>
          <w:numId w:val="2"/>
        </w:numPr>
        <w:spacing w:after="90" w:line="290" w:lineRule="auto"/>
      </w:pPr>
      <w:r>
        <w:rPr>
          <w:rFonts w:ascii="DM Sans" w:cs="DM Sans" w:eastAsia="DM Sans" w:hAnsi="DM Sans"/>
          <w:color w:val="1A1A1A"/>
          <w:sz w:val="21"/>
          <w:szCs w:val="21"/>
        </w:rPr>
        <w:t xml:space="preserve">A past client returning with a new issue, however minor it appears.</w:t>
      </w:r>
    </w:p>
    <w:p>
      <w:pPr>
        <w:spacing w:after="160" w:line="300" w:lineRule="auto"/>
      </w:pPr>
      <w:r>
        <w:rPr>
          <w:rFonts w:ascii="DM Sans" w:cs="DM Sans" w:eastAsia="DM Sans" w:hAnsi="DM Sans"/>
          <w:color w:val="1A1A1A"/>
          <w:sz w:val="21"/>
          <w:szCs w:val="21"/>
        </w:rPr>
        <w:t xml:space="preserve">It does not apply to genuine incidental clarification within the existing scope of a current matter — for example, a client asking a fee-earner to explain a letter already sent. That is ordinary service, not free advice.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3. WHAT COUNTS AS A “QUICK QUESTION”</w:t>
      </w:r>
    </w:p>
    <w:p>
      <w:pPr>
        <w:spacing w:after="160" w:line="300" w:lineRule="auto"/>
      </w:pPr>
      <w:r>
        <w:rPr>
          <w:rFonts w:ascii="DM Sans" w:cs="DM Sans" w:eastAsia="DM Sans" w:hAnsi="DM Sans"/>
          <w:color w:val="1A1A1A"/>
          <w:sz w:val="21"/>
          <w:szCs w:val="21"/>
        </w:rPr>
        <w:t xml:space="preserve">A quick question is any request for legal input that has not been scoped, quoted, or covered by an existing costs agreement — regardless of its length, the medium it arrives by, or how casually it's framed. In practice it usually arrives disguised as one of the following:</w:t>
      </w:r>
    </w:p>
    <w:p>
      <w:pPr>
        <w:pStyle w:val="ListParagraph"/>
        <w:numPr>
          <w:ilvl w:val="0"/>
          <w:numId w:val="2"/>
        </w:numPr>
        <w:spacing w:after="90" w:line="290" w:lineRule="auto"/>
      </w:pPr>
      <w:r>
        <w:rPr>
          <w:rFonts w:ascii="DM Sans" w:cs="DM Sans" w:eastAsia="DM Sans" w:hAnsi="DM Sans"/>
          <w:color w:val="1A1A1A"/>
          <w:sz w:val="21"/>
          <w:szCs w:val="21"/>
        </w:rPr>
        <w:t xml:space="preserve">“Can I just ask you something quickly...”</w:t>
      </w:r>
    </w:p>
    <w:p>
      <w:pPr>
        <w:pStyle w:val="ListParagraph"/>
        <w:numPr>
          <w:ilvl w:val="0"/>
          <w:numId w:val="2"/>
        </w:numPr>
        <w:spacing w:after="90" w:line="290" w:lineRule="auto"/>
      </w:pPr>
      <w:r>
        <w:rPr>
          <w:rFonts w:ascii="DM Sans" w:cs="DM Sans" w:eastAsia="DM Sans" w:hAnsi="DM Sans"/>
          <w:color w:val="1A1A1A"/>
          <w:sz w:val="21"/>
          <w:szCs w:val="21"/>
        </w:rPr>
        <w:t xml:space="preserve">A one-line email that actually requires research or judgement to answer properly.</w:t>
      </w:r>
    </w:p>
    <w:p>
      <w:pPr>
        <w:pStyle w:val="ListParagraph"/>
        <w:numPr>
          <w:ilvl w:val="0"/>
          <w:numId w:val="2"/>
        </w:numPr>
        <w:spacing w:after="90" w:line="290" w:lineRule="auto"/>
      </w:pPr>
      <w:r>
        <w:rPr>
          <w:rFonts w:ascii="DM Sans" w:cs="DM Sans" w:eastAsia="DM Sans" w:hAnsi="DM Sans"/>
          <w:color w:val="1A1A1A"/>
          <w:sz w:val="21"/>
          <w:szCs w:val="21"/>
        </w:rPr>
        <w:t xml:space="preserve">A social or personal conversation that turns into a request for a view on a legal problem.</w:t>
      </w:r>
    </w:p>
    <w:p>
      <w:pPr>
        <w:pStyle w:val="ListParagraph"/>
        <w:numPr>
          <w:ilvl w:val="0"/>
          <w:numId w:val="2"/>
        </w:numPr>
        <w:spacing w:after="90" w:line="290" w:lineRule="auto"/>
      </w:pPr>
      <w:r>
        <w:rPr>
          <w:rFonts w:ascii="DM Sans" w:cs="DM Sans" w:eastAsia="DM Sans" w:hAnsi="DM Sans"/>
          <w:color w:val="1A1A1A"/>
          <w:sz w:val="21"/>
          <w:szCs w:val="21"/>
        </w:rPr>
        <w:t xml:space="preserve">An existing client raising an unrelated issue “while we're talking.”</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4. THE THREE RESPONSES</w:t>
      </w:r>
    </w:p>
    <w:p>
      <w:pPr>
        <w:spacing w:after="160" w:line="300" w:lineRule="auto"/>
      </w:pPr>
      <w:r>
        <w:rPr>
          <w:rFonts w:ascii="DM Sans" w:cs="DM Sans" w:eastAsia="DM Sans" w:hAnsi="DM Sans"/>
          <w:color w:val="1A1A1A"/>
          <w:sz w:val="21"/>
          <w:szCs w:val="21"/>
        </w:rPr>
        <w:t xml:space="preserve">Every quick question gets one of three responses, decided at the time it's asked — not worked out after the fact once the time is already spent.</w:t>
      </w:r>
    </w:p>
    <w:p>
      <w:pPr>
        <w:spacing w:after="120" w:before="260"/>
      </w:pPr>
      <w:r>
        <w:rPr>
          <w:rFonts w:ascii="Cormorant Garamond" w:cs="Cormorant Garamond" w:eastAsia="Cormorant Garamond" w:hAnsi="Cormorant Garamond"/>
          <w:b/>
          <w:bCs/>
          <w:color w:val="0C5C52"/>
          <w:sz w:val="22"/>
          <w:szCs w:val="22"/>
        </w:rPr>
        <w:t xml:space="preserve">4.1 Answer It</w:t>
      </w:r>
    </w:p>
    <w:p>
      <w:pPr>
        <w:spacing w:after="160" w:line="300" w:lineRule="auto"/>
      </w:pPr>
      <w:r>
        <w:rPr>
          <w:rFonts w:ascii="DM Sans" w:cs="DM Sans" w:eastAsia="DM Sans" w:hAnsi="DM Sans"/>
          <w:color w:val="1A1A1A"/>
          <w:sz w:val="21"/>
          <w:szCs w:val="21"/>
        </w:rPr>
        <w:t xml:space="preserve">For genuinely minor, low-risk questions the fee-earner is comfortable answering unbilled, quickly, with no material advice risk. This is a deliberate investment in the relationship, not a default response — and it should be the least common of the three. Record it briefly in a file note.</w:t>
      </w:r>
    </w:p>
    <w:p>
      <w:pPr>
        <w:spacing w:after="120" w:before="260"/>
      </w:pPr>
      <w:r>
        <w:rPr>
          <w:rFonts w:ascii="Cormorant Garamond" w:cs="Cormorant Garamond" w:eastAsia="Cormorant Garamond" w:hAnsi="Cormorant Garamond"/>
          <w:b/>
          <w:bCs/>
          <w:color w:val="0C5C52"/>
          <w:sz w:val="22"/>
          <w:szCs w:val="22"/>
        </w:rPr>
        <w:t xml:space="preserve">4.2 Scope It</w:t>
      </w:r>
    </w:p>
    <w:p>
      <w:pPr>
        <w:spacing w:after="160" w:line="300" w:lineRule="auto"/>
      </w:pPr>
      <w:r>
        <w:rPr>
          <w:rFonts w:ascii="DM Sans" w:cs="DM Sans" w:eastAsia="DM Sans" w:hAnsi="DM Sans"/>
          <w:color w:val="1A1A1A"/>
          <w:sz w:val="21"/>
          <w:szCs w:val="21"/>
        </w:rPr>
        <w:t xml:space="preserve">Where the question requires real judgement, research, or carries advice risk, the fee-earner names it as such: “That's a good question and it deserves a proper answer — let me put together a scope and a fee estimate for you.” No advice is given on the substance until a costs agreement is in place.</w:t>
      </w:r>
    </w:p>
    <w:p>
      <w:pPr>
        <w:spacing w:after="120" w:before="260"/>
      </w:pPr>
      <w:r>
        <w:rPr>
          <w:rFonts w:ascii="Cormorant Garamond" w:cs="Cormorant Garamond" w:eastAsia="Cormorant Garamond" w:hAnsi="Cormorant Garamond"/>
          <w:b/>
          <w:bCs/>
          <w:color w:val="0C5C52"/>
          <w:sz w:val="22"/>
          <w:szCs w:val="22"/>
        </w:rPr>
        <w:t xml:space="preserve">4.3 Decline It</w:t>
      </w:r>
    </w:p>
    <w:p>
      <w:pPr>
        <w:spacing w:after="160" w:line="300" w:lineRule="auto"/>
      </w:pPr>
      <w:r>
        <w:rPr>
          <w:rFonts w:ascii="DM Sans" w:cs="DM Sans" w:eastAsia="DM Sans" w:hAnsi="DM Sans"/>
          <w:color w:val="1A1A1A"/>
          <w:sz w:val="21"/>
          <w:szCs w:val="21"/>
        </w:rPr>
        <w:t xml:space="preserve">Where the question falls outside the firm's expertise, or the relationship doesn't warrant further investment, the fee-earner refers the person elsewhere rather than answering informally.</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“Answer It” is the exception, not the default. If it is becoming the default response for a particular client, treat that as a signal in its own right — see Section 6.</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5. RECOGNISING SCOPE CREEP IN REAL TIME</w:t>
      </w:r>
    </w:p>
    <w:p>
      <w:pPr>
        <w:spacing w:after="160" w:line="300" w:lineRule="auto"/>
      </w:pPr>
      <w:r>
        <w:rPr>
          <w:rFonts w:ascii="DM Sans" w:cs="DM Sans" w:eastAsia="DM Sans" w:hAnsi="DM Sans"/>
          <w:color w:val="1A1A1A"/>
          <w:sz w:val="21"/>
          <w:szCs w:val="21"/>
        </w:rPr>
        <w:t xml:space="preserve">Free advice rarely arrives as one large request — it accumulates as a series of small ones. At the point a client's questions start recurring, or a single “quick” answer is taking longer than it should, the fee-earner should pause and reassess:</w:t>
      </w:r>
    </w:p>
    <w:p>
      <w:pPr>
        <w:pStyle w:val="ListParagraph"/>
        <w:numPr>
          <w:ilvl w:val="0"/>
          <w:numId w:val="2"/>
        </w:numPr>
        <w:spacing w:after="90" w:line="290" w:lineRule="auto"/>
      </w:pPr>
      <w:r>
        <w:rPr>
          <w:rFonts w:ascii="DM Sans" w:cs="DM Sans" w:eastAsia="DM Sans" w:hAnsi="DM Sans"/>
          <w:color w:val="1A1A1A"/>
          <w:sz w:val="21"/>
          <w:szCs w:val="21"/>
        </w:rPr>
        <w:t xml:space="preserve">Is this still incidental, or has it become a pattern?</w:t>
      </w:r>
    </w:p>
    <w:p>
      <w:pPr>
        <w:pStyle w:val="ListParagraph"/>
        <w:numPr>
          <w:ilvl w:val="0"/>
          <w:numId w:val="2"/>
        </w:numPr>
        <w:spacing w:after="90" w:line="290" w:lineRule="auto"/>
      </w:pPr>
      <w:r>
        <w:rPr>
          <w:rFonts w:ascii="DM Sans" w:cs="DM Sans" w:eastAsia="DM Sans" w:hAnsi="DM Sans"/>
          <w:color w:val="1A1A1A"/>
          <w:sz w:val="21"/>
          <w:szCs w:val="21"/>
        </w:rPr>
        <w:t xml:space="preserve">Has the client's use of free advice moved from goodwill to expectation?</w:t>
      </w:r>
    </w:p>
    <w:p>
      <w:pPr>
        <w:pStyle w:val="ListParagraph"/>
        <w:numPr>
          <w:ilvl w:val="0"/>
          <w:numId w:val="2"/>
        </w:numPr>
        <w:spacing w:after="90" w:line="290" w:lineRule="auto"/>
      </w:pPr>
      <w:r>
        <w:rPr>
          <w:rFonts w:ascii="DM Sans" w:cs="DM Sans" w:eastAsia="DM Sans" w:hAnsi="DM Sans"/>
          <w:color w:val="1A1A1A"/>
          <w:sz w:val="21"/>
          <w:szCs w:val="21"/>
        </w:rPr>
        <w:t xml:space="preserve">Would billing this now change how the client engages next time — and is that a conversation worth having?</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Reviewing this pattern against the firm's unbilled-time data (see the Broken Promises Calculator) at each billing cycle is the fastest way to see whether “Answer It” is being used as intended, or has quietly become the default.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6. CLIENT RESISTANCE AS A SIGNAL</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A client who resists being asked to pay for advice is telling the firm something about the whole relationship, not just this one question.</w:t>
      </w:r>
    </w:p>
    <w:p>
      <w:pPr>
        <w:spacing w:after="160" w:line="300" w:lineRule="auto"/>
      </w:pPr>
      <w:r>
        <w:rPr>
          <w:rFonts w:ascii="DM Sans" w:cs="DM Sans" w:eastAsia="DM Sans" w:hAnsi="DM Sans"/>
          <w:color w:val="1A1A1A"/>
          <w:sz w:val="21"/>
          <w:szCs w:val="21"/>
        </w:rPr>
        <w:t xml:space="preserve">If a client pushes back when a question is scoped rather than answered for free — arguing it should be “quick,” “included,” or “no big deal” — this is treated as a signal about the relationship, not just the request in front of the fee-earner. Before continuing, the fee-earner should:</w:t>
      </w:r>
    </w:p>
    <w:p>
      <w:pPr>
        <w:pStyle w:val="ListParagraph"/>
        <w:numPr>
          <w:ilvl w:val="0"/>
          <w:numId w:val="2"/>
        </w:numPr>
        <w:spacing w:after="90" w:line="290" w:lineRule="auto"/>
      </w:pPr>
      <w:r>
        <w:rPr>
          <w:rFonts w:ascii="DM Sans" w:cs="DM Sans" w:eastAsia="DM Sans" w:hAnsi="DM Sans"/>
          <w:color w:val="1A1A1A"/>
          <w:sz w:val="21"/>
          <w:szCs w:val="21"/>
        </w:rPr>
        <w:t xml:space="preserve">Note the pushback in a file note — what was asked, and how the client responded to being asked to scope it.</w:t>
      </w:r>
    </w:p>
    <w:p>
      <w:pPr>
        <w:pStyle w:val="ListParagraph"/>
        <w:numPr>
          <w:ilvl w:val="0"/>
          <w:numId w:val="2"/>
        </w:numPr>
        <w:spacing w:after="90" w:line="290" w:lineRule="auto"/>
      </w:pPr>
      <w:r>
        <w:rPr>
          <w:rFonts w:ascii="DM Sans" w:cs="DM Sans" w:eastAsia="DM Sans" w:hAnsi="DM Sans"/>
          <w:color w:val="1A1A1A"/>
          <w:sz w:val="21"/>
          <w:szCs w:val="21"/>
        </w:rPr>
        <w:t xml:space="preserve">Assess whether this is a one-off, or a pattern for this client.</w:t>
      </w:r>
    </w:p>
    <w:p>
      <w:pPr>
        <w:pStyle w:val="ListParagraph"/>
        <w:numPr>
          <w:ilvl w:val="0"/>
          <w:numId w:val="2"/>
        </w:numPr>
        <w:spacing w:after="90" w:line="290" w:lineRule="auto"/>
      </w:pPr>
      <w:r>
        <w:rPr>
          <w:rFonts w:ascii="DM Sans" w:cs="DM Sans" w:eastAsia="DM Sans" w:hAnsi="DM Sans"/>
          <w:color w:val="1A1A1A"/>
          <w:sz w:val="21"/>
          <w:szCs w:val="21"/>
        </w:rPr>
        <w:t xml:space="preserve">Decide: proceed to scope it anyway, escalate to a principal, or treat it as data toward whether this is a client worth keeping on the terms they expect.</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 fee-earner who is not a principal should raise a pattern of resistance with a principal before it quietly becomes the norm for that client.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7. EXCEPTIONS &amp; PRINCIPAL DISCRETION</w:t>
      </w:r>
    </w:p>
    <w:p>
      <w:pPr>
        <w:spacing w:after="160" w:line="300" w:lineRule="auto"/>
      </w:pPr>
      <w:r>
        <w:rPr>
          <w:rFonts w:ascii="DM Sans" w:cs="DM Sans" w:eastAsia="DM Sans" w:hAnsi="DM Sans"/>
          <w:color w:val="1A1A1A"/>
          <w:sz w:val="21"/>
          <w:szCs w:val="21"/>
        </w:rPr>
        <w:t xml:space="preserve">A principal may approve free advice outside this policy for a specific client or circumstance — for example a strategic relationship, a referral source, or a pro bono matter. Any exception must be recorded in writing on the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8. POLICY REVIEW</w:t>
      </w:r>
    </w:p>
    <w:p>
      <w:pPr>
        <w:spacing w:after="160" w:line="300" w:lineRule="auto"/>
      </w:pPr>
      <w:r>
        <w:rPr>
          <w:rFonts w:ascii="DM Sans" w:cs="DM Sans" w:eastAsia="DM Sans" w:hAnsi="DM Sans"/>
          <w:color w:val="1A1A1A"/>
          <w:sz w:val="21"/>
          <w:szCs w:val="21"/>
        </w:rPr>
        <w:t xml:space="preserve">This policy is reviewed at least annually, and whenever the firm's unbilled-time or write-off data indicates free advice is being given more often, or more broadly, than intended.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Draft v1.0 — thresholds, examples, and escalation points are starting positions for the firm's principals to confirm before this is adopted as firm policy.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5B6B6E"/>
        <w:sz w:val="15"/>
        <w:szCs w:val="15"/>
      </w:rPr>
      <w:t xml:space="preserve">Internal policy — not for client distribution</w:t>
    </w:r>
    <w:r>
      <w:rPr>
        <w:rFonts w:ascii="DM Sans" w:cs="DM Sans" w:eastAsia="DM Sans" w:hAnsi="DM Sans"/>
        <w:color w:val="5B6B6E"/>
        <w:sz w:val="15"/>
        <w:szCs w:val="15"/>
      </w:rPr>
      <w:t xml:space="preserve">Page </w:t>
    </w:r>
    <w:r>
      <w:rPr>
        <w:rFonts w:ascii="DM Sans" w:cs="DM Sans" w:eastAsia="DM Sans" w:hAnsi="DM Sans"/>
        <w:color w:val="5B6B6E"/>
        <w:sz w:val="15"/>
        <w:szCs w:val="15"/>
      </w:rPr>
      <w:fldChar w:fldCharType="begin"/>
      <w:instrText xml:space="preserve">PAGE</w:instrText>
      <w:fldChar w:fldCharType="separate"/>
      <w:fldChar w:fldCharType="end"/>
    </w:r>
    <w:r>
      <w:rPr>
        <w:rFonts w:ascii="DM Sans" w:cs="DM Sans" w:eastAsia="DM Sans" w:hAnsi="DM Sans"/>
        <w:color w:val="5B6B6E"/>
        <w:sz w:val="15"/>
        <w:szCs w:val="15"/>
      </w:rPr>
      <w:t xml:space="preserve"> of </w:t>
    </w:r>
    <w:r>
      <w:rPr>
        <w:rFonts w:ascii="DM Sans" w:cs="DM Sans" w:eastAsia="DM Sans" w:hAnsi="DM Sans"/>
        <w:color w:val="5B6B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52" w:sz="6" w:space="6"/>
      </w:pBdr>
      <w:tabs>
        <w:tab w:val="right" w:pos="9026"/>
      </w:tabs>
    </w:pPr>
    <w:r>
      <w:rPr>
        <w:rFonts w:ascii="DM Sans" w:cs="DM Sans" w:eastAsia="DM Sans" w:hAnsi="DM Sans"/>
        <w:b/>
        <w:bCs/>
        <w:color w:val="0D2B36"/>
        <w:sz w:val="16"/>
        <w:szCs w:val="16"/>
      </w:rPr>
      <w:t xml:space="preserve">[FIRM NAME]</w:t>
    </w:r>
    <w:r>
      <w:rPr>
        <w:rFonts w:ascii="DM Sans" w:cs="DM Sans" w:eastAsia="DM Sans" w:hAnsi="DM Sans"/>
        <w:color w:val="5B6B6E"/>
        <w:sz w:val="16"/>
        <w:szCs w:val="16"/>
      </w:rPr>
      <w:t xml:space="preserve">	Free Advice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2026-07-29T03:48:44.135Z</dcterms:created>
  <dcterms:modified xsi:type="dcterms:W3CDTF">2026-07-29T03:48:44.150Z</dcterms:modified>
</cp:coreProperties>
</file>

<file path=docProps/custom.xml><?xml version="1.0" encoding="utf-8"?>
<Properties xmlns="http://schemas.openxmlformats.org/officeDocument/2006/custom-properties" xmlns:vt="http://schemas.openxmlformats.org/officeDocument/2006/docPropsVTypes"/>
</file>