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rmorant Garamond" w:cs="Cormorant Garamond" w:eastAsia="Cormorant Garamond" w:hAnsi="Cormorant Garamond"/>
          <w:b/>
          <w:bCs/>
          <w:color w:val="0D2B36"/>
          <w:sz w:val="52"/>
          <w:szCs w:val="52"/>
        </w:rPr>
        <w:t xml:space="preserve">SCOPE &amp;</w:t>
      </w:r>
    </w:p>
    <w:p>
      <w:pPr>
        <w:spacing w:after="200"/>
      </w:pPr>
      <w:r>
        <w:rPr>
          <w:rFonts w:ascii="Cormorant Garamond" w:cs="Cormorant Garamond" w:eastAsia="Cormorant Garamond" w:hAnsi="Cormorant Garamond"/>
          <w:b/>
          <w:bCs/>
          <w:color w:val="0C5C52"/>
          <w:sz w:val="44"/>
          <w:szCs w:val="44"/>
        </w:rPr>
        <w:t xml:space="preserve">VARIATION POLICY</w:t>
      </w:r>
    </w:p>
    <w:p>
      <w:pPr>
        <w:pBdr>
          <w:bottom w:val="single" w:color="3A9E91" w:sz="18" w:space="10"/>
        </w:pBdr>
        <w:spacing w:after="240"/>
      </w:pPr>
      <w:r>
        <w:rPr>
          <w:rFonts w:ascii="DM Sans" w:cs="DM Sans" w:eastAsia="DM Sans" w:hAnsi="DM Sans"/>
          <w:i/>
          <w:iCs/>
          <w:color w:val="5B6B6E"/>
          <w:sz w:val="20"/>
          <w:szCs w:val="20"/>
        </w:rPr>
        <w:t xml:space="preserve">[Firm Name]  ·  Version 1.0 (template)  ·  Effective date: TBC  ·  Owner: [Principal Name]</w:t>
      </w:r>
    </w:p>
    <w:p>
      <w:pPr>
        <w:pBdr>
          <w:left w:val="single" w:color="0D2B36" w:sz="24" w:space="10"/>
        </w:pBdr>
        <w:spacing w:after="280" w:before="160"/>
        <w:ind w:left="220"/>
      </w:pPr>
      <w:r>
        <w:rPr>
          <w:rFonts w:ascii="Cormorant Garamond" w:cs="Cormorant Garamond" w:eastAsia="Cormorant Garamond" w:hAnsi="Cormorant Garamond"/>
          <w:i/>
          <w:iCs/>
          <w:color w:val="0D2B36"/>
          <w:sz w:val="25"/>
          <w:szCs w:val="25"/>
        </w:rPr>
        <w:t xml:space="preserve">The moment a client asks for “just one more thing” for free, the firm is being asked to decide, in real time, what its scope is actually worth.</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1. PURPOSE</w:t>
      </w:r>
    </w:p>
    <w:p>
      <w:pPr>
        <w:spacing w:after="160" w:line="300" w:lineRule="auto"/>
      </w:pPr>
      <w:r>
        <w:rPr>
          <w:rFonts w:ascii="DM Sans" w:cs="DM Sans" w:eastAsia="DM Sans" w:hAnsi="DM Sans"/>
          <w:color w:val="1A1A1A"/>
          <w:sz w:val="21"/>
          <w:szCs w:val="21"/>
        </w:rPr>
        <w:t xml:space="preserve">This policy sets the firm's standard approach to work requested by a client that falls outside the scope already disclosed and agreed in the costs agreement. It exists because scope creep rarely arrives as a single large request — it arrives as a series of small, reasonable-sounding ones, each easier to absorb quietly than the last.</w:t>
      </w:r>
    </w:p>
    <w:p>
      <w:pPr>
        <w:spacing w:after="160" w:line="300" w:lineRule="auto"/>
      </w:pPr>
      <w:r>
        <w:rPr>
          <w:rFonts w:ascii="DM Sans" w:cs="DM Sans" w:eastAsia="DM Sans" w:hAnsi="DM Sans"/>
          <w:color w:val="1A1A1A"/>
          <w:sz w:val="21"/>
          <w:szCs w:val="21"/>
        </w:rPr>
        <w:t xml:space="preserve">How the firm responds to a scope request is a live positioning test, the same as the response to a payment pushback or a fee variation. A firm that quietly folds extra work into the existing fee, every time, to avoid an awkward conversation, is training clients to keep asking — and training itself to stop noticing.</w:t>
      </w:r>
    </w:p>
    <w:p>
      <w:pPr>
        <w:spacing w:after="160" w:line="300" w:lineRule="auto"/>
      </w:pPr>
      <w:r>
        <w:rPr>
          <w:rFonts w:ascii="DM Sans" w:cs="DM Sans" w:eastAsia="DM Sans" w:hAnsi="DM Sans"/>
          <w:color w:val="1A1A1A"/>
          <w:sz w:val="21"/>
          <w:szCs w:val="21"/>
        </w:rPr>
        <w:t xml:space="preserve">This policy works together with the scope clause in Section 4, which should be included in the firm's standard costs agreement so the boundary is disclosed to the client from the outset, not improvised mid-matter.</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2. SCOPE OF THIS POLICY</w:t>
      </w:r>
    </w:p>
    <w:p>
      <w:pPr>
        <w:spacing w:after="160" w:line="300" w:lineRule="auto"/>
      </w:pPr>
      <w:r>
        <w:rPr>
          <w:rFonts w:ascii="DM Sans" w:cs="DM Sans" w:eastAsia="DM Sans" w:hAnsi="DM Sans"/>
          <w:color w:val="1A1A1A"/>
          <w:sz w:val="21"/>
          <w:szCs w:val="21"/>
        </w:rPr>
        <w:t xml:space="preserve">This policy applies to any request from a client, during an open matter, for advice or work not described in the scope of the current costs agreement — however the request is framed (“while you're at it,” “one more small thing,” “this is basically the same issue”).</w:t>
      </w:r>
    </w:p>
    <w:p>
      <w:pPr>
        <w:spacing w:after="160" w:line="300" w:lineRule="auto"/>
      </w:pPr>
      <w:r>
        <w:rPr>
          <w:rFonts w:ascii="DM Sans" w:cs="DM Sans" w:eastAsia="DM Sans" w:hAnsi="DM Sans"/>
          <w:color w:val="1A1A1A"/>
          <w:sz w:val="21"/>
          <w:szCs w:val="21"/>
        </w:rPr>
        <w:t xml:space="preserve">It does not apply to work that is genuinely incidental to, or necessary for, completing the matter as scoped — that is ordinary delivery of the engagement, not a variation.</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3. RECOGNISING SCOPE CREEP AT THE POINT IT HAPPENS</w:t>
      </w:r>
    </w:p>
    <w:p>
      <w:pPr>
        <w:spacing w:after="160" w:line="300" w:lineRule="auto"/>
      </w:pPr>
      <w:r>
        <w:rPr>
          <w:rFonts w:ascii="DM Sans" w:cs="DM Sans" w:eastAsia="DM Sans" w:hAnsi="DM Sans"/>
          <w:color w:val="1A1A1A"/>
          <w:sz w:val="21"/>
          <w:szCs w:val="21"/>
        </w:rPr>
        <w:t xml:space="preserve">Scope creep is easiest to name the moment it's asked for, and hardest to unwind once work has already started. The fee-earner should treat the following as the moment to pause, not proceed automatically:</w:t>
      </w:r>
    </w:p>
    <w:p>
      <w:pPr>
        <w:pStyle w:val="ListParagraph"/>
        <w:numPr>
          <w:ilvl w:val="0"/>
          <w:numId w:val="2"/>
        </w:numPr>
        <w:spacing w:after="90" w:line="290" w:lineRule="auto"/>
      </w:pPr>
      <w:r>
        <w:rPr>
          <w:rFonts w:ascii="DM Sans" w:cs="DM Sans" w:eastAsia="DM Sans" w:hAnsi="DM Sans"/>
          <w:color w:val="1A1A1A"/>
          <w:sz w:val="21"/>
          <w:szCs w:val="21"/>
        </w:rPr>
        <w:t xml:space="preserve">A request begins with a qualifier that pre-frames it as trivial — “just,” “quickly,” “while we're at it.”</w:t>
      </w:r>
    </w:p>
    <w:p>
      <w:pPr>
        <w:pStyle w:val="ListParagraph"/>
        <w:numPr>
          <w:ilvl w:val="0"/>
          <w:numId w:val="2"/>
        </w:numPr>
        <w:spacing w:after="90" w:line="290" w:lineRule="auto"/>
      </w:pPr>
      <w:r>
        <w:rPr>
          <w:rFonts w:ascii="DM Sans" w:cs="DM Sans" w:eastAsia="DM Sans" w:hAnsi="DM Sans"/>
          <w:color w:val="1A1A1A"/>
          <w:sz w:val="21"/>
          <w:szCs w:val="21"/>
        </w:rPr>
        <w:t xml:space="preserve">The request touches a different issue, party, or document than the one described in the costs agreement.</w:t>
      </w:r>
    </w:p>
    <w:p>
      <w:pPr>
        <w:pStyle w:val="ListParagraph"/>
        <w:numPr>
          <w:ilvl w:val="0"/>
          <w:numId w:val="2"/>
        </w:numPr>
        <w:spacing w:after="90" w:line="290" w:lineRule="auto"/>
      </w:pPr>
      <w:r>
        <w:rPr>
          <w:rFonts w:ascii="DM Sans" w:cs="DM Sans" w:eastAsia="DM Sans" w:hAnsi="DM Sans"/>
          <w:color w:val="1A1A1A"/>
          <w:sz w:val="21"/>
          <w:szCs w:val="21"/>
        </w:rPr>
        <w:t xml:space="preserve">Responding properly would require research, drafting, or judgement beyond a few minutes.</w:t>
      </w:r>
    </w:p>
    <w:p>
      <w:pPr>
        <w:pStyle w:val="ListParagraph"/>
        <w:numPr>
          <w:ilvl w:val="0"/>
          <w:numId w:val="2"/>
        </w:numPr>
        <w:spacing w:after="90" w:line="290" w:lineRule="auto"/>
      </w:pPr>
      <w:r>
        <w:rPr>
          <w:rFonts w:ascii="DM Sans" w:cs="DM Sans" w:eastAsia="DM Sans" w:hAnsi="DM Sans"/>
          <w:color w:val="1A1A1A"/>
          <w:sz w:val="21"/>
          <w:szCs w:val="21"/>
        </w:rPr>
        <w:t xml:space="preserve">The same client has made a similar “small” request more than once on this matter.</w:t>
      </w:r>
    </w:p>
    <w:p>
      <w:pPr>
        <w:pBdr>
          <w:left w:val="single" w:color="3A9E91" w:sz="18" w:space="8"/>
        </w:pBdr>
        <w:shd w:fill="EEF5F4" w:color="auto" w:val="clear"/>
        <w:spacing w:after="200" w:before="100"/>
        <w:ind w:left="200"/>
      </w:pPr>
      <w:r>
        <w:rPr>
          <w:rFonts w:ascii="DM Sans" w:cs="DM Sans" w:eastAsia="DM Sans" w:hAnsi="DM Sans"/>
          <w:b/>
          <w:bCs/>
          <w:color w:val="0C5C52"/>
          <w:sz w:val="19"/>
          <w:szCs w:val="19"/>
        </w:rPr>
        <w:t xml:space="preserve">NOTE — </w:t>
      </w:r>
      <w:r>
        <w:rPr>
          <w:rFonts w:ascii="DM Sans" w:cs="DM Sans" w:eastAsia="DM Sans" w:hAnsi="DM Sans"/>
          <w:i/>
          <w:iCs/>
          <w:color w:val="5B6B6E"/>
          <w:sz w:val="19"/>
          <w:szCs w:val="19"/>
        </w:rPr>
        <w:t xml:space="preserve">This is the same recognition discipline as the firm's Free Advice Policy, applied inside an already-open matter rather than at first contact.</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4. THE ENGAGEMENT LETTER CLAUSE</w:t>
      </w:r>
    </w:p>
    <w:p>
      <w:pPr>
        <w:spacing w:after="160" w:line="300" w:lineRule="auto"/>
      </w:pPr>
      <w:r>
        <w:rPr>
          <w:rFonts w:ascii="DM Sans" w:cs="DM Sans" w:eastAsia="DM Sans" w:hAnsi="DM Sans"/>
          <w:color w:val="1A1A1A"/>
          <w:sz w:val="21"/>
          <w:szCs w:val="21"/>
        </w:rPr>
        <w:t xml:space="preserve">The following clause should appear in the firm's standard costs agreement, so the scope boundary is disclosed to every client at the outset rather than raised for the first time mid-matter, when it feels like a refusal rather than a term already agreed.</w:t>
      </w:r>
    </w:p>
    <w:p>
      <w:pPr>
        <w:pBdr>
          <w:top w:val="single" w:color="EEF0F2" w:sz="4" w:space="8"/>
          <w:left w:val="single" w:color="0D2B36" w:sz="18" w:space="8"/>
        </w:pBdr>
        <w:shd w:fill="EEF0F2" w:color="auto" w:val="clear"/>
        <w:spacing w:after="0" w:before="200"/>
        <w:ind w:left="200"/>
      </w:pPr>
      <w:r>
        <w:rPr>
          <w:rFonts w:ascii="DM Sans" w:cs="DM Sans" w:eastAsia="DM Sans" w:hAnsi="DM Sans"/>
          <w:b/>
          <w:bCs/>
          <w:color w:val="0D2B36"/>
          <w:sz w:val="17"/>
          <w:szCs w:val="17"/>
        </w:rPr>
        <w:t xml:space="preserve">CLAUSE — for inclusion in the costs agreement / engagement letter</w:t>
      </w:r>
    </w:p>
    <w:p>
      <w:pPr>
        <w:pBdr>
          <w:left w:val="single" w:color="0D2B36" w:sz="18" w:space="8"/>
        </w:pBdr>
        <w:shd w:fill="EEF0F2" w:color="auto" w:val="clear"/>
        <w:spacing w:after="200" w:before="60" w:line="290" w:lineRule="auto"/>
        <w:ind w:left="200"/>
      </w:pPr>
      <w:r>
        <w:rPr>
          <w:rFonts w:ascii="DM Sans" w:cs="DM Sans" w:eastAsia="DM Sans" w:hAnsi="DM Sans"/>
          <w:i/>
          <w:iCs/>
          <w:color w:val="1A1A1A"/>
          <w:sz w:val="20"/>
          <w:szCs w:val="20"/>
        </w:rPr>
        <w:t xml:space="preserve">“Scope of this engagement. This agreement covers the matter described above, and does not extend to any other matter or issue. If, during the course of this engagement, you ask us to advise on or attend to work outside this scope, we will let you know before carrying it out and, where appropriate, provide you with a separate fee estimate or costs agreement for that work. We will not treat additional work as included in this engagement unless we have confirmed that with you in writing beforehand.”</w:t>
      </w:r>
    </w:p>
    <w:p>
      <w:pPr>
        <w:pBdr>
          <w:left w:val="single" w:color="3A9E91" w:sz="18" w:space="8"/>
        </w:pBdr>
        <w:shd w:fill="EEF5F4" w:color="auto" w:val="clear"/>
        <w:spacing w:after="200" w:before="100"/>
        <w:ind w:left="200"/>
      </w:pPr>
      <w:r>
        <w:rPr>
          <w:rFonts w:ascii="DM Sans" w:cs="DM Sans" w:eastAsia="DM Sans" w:hAnsi="DM Sans"/>
          <w:b/>
          <w:bCs/>
          <w:color w:val="0C5C52"/>
          <w:sz w:val="19"/>
          <w:szCs w:val="19"/>
        </w:rPr>
        <w:t xml:space="preserve">NOTE — </w:t>
      </w:r>
      <w:r>
        <w:rPr>
          <w:rFonts w:ascii="DM Sans" w:cs="DM Sans" w:eastAsia="DM Sans" w:hAnsi="DM Sans"/>
          <w:i/>
          <w:iCs/>
          <w:color w:val="5B6B6E"/>
          <w:sz w:val="19"/>
          <w:szCs w:val="19"/>
        </w:rPr>
        <w:t xml:space="preserve">This clause does the same job for scope that the upfront payment disclosure does for price: it moves the boundary into the open, in writing, before the relationship is under any pressure — so raising it later is enforcing a term, not springing a surprise.</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5. THE THREE RESPONSES</w:t>
      </w:r>
    </w:p>
    <w:p>
      <w:pPr>
        <w:spacing w:after="160" w:line="300" w:lineRule="auto"/>
      </w:pPr>
      <w:r>
        <w:rPr>
          <w:rFonts w:ascii="DM Sans" w:cs="DM Sans" w:eastAsia="DM Sans" w:hAnsi="DM Sans"/>
          <w:color w:val="1A1A1A"/>
          <w:sz w:val="21"/>
          <w:szCs w:val="21"/>
        </w:rPr>
        <w:t xml:space="preserve">When a client makes an out-of-scope request mid-matter, the fee-earner chooses one of three responses, at the time of the request.</w:t>
      </w:r>
    </w:p>
    <w:p>
      <w:pPr>
        <w:spacing w:after="120" w:before="260"/>
      </w:pPr>
      <w:r>
        <w:rPr>
          <w:rFonts w:ascii="Cormorant Garamond" w:cs="Cormorant Garamond" w:eastAsia="Cormorant Garamond" w:hAnsi="Cormorant Garamond"/>
          <w:b/>
          <w:bCs/>
          <w:color w:val="0C5C52"/>
          <w:sz w:val="22"/>
          <w:szCs w:val="22"/>
        </w:rPr>
        <w:t xml:space="preserve">5.1 Absorb It</w:t>
      </w:r>
    </w:p>
    <w:p>
      <w:pPr>
        <w:spacing w:after="160" w:line="300" w:lineRule="auto"/>
      </w:pPr>
      <w:r>
        <w:rPr>
          <w:rFonts w:ascii="DM Sans" w:cs="DM Sans" w:eastAsia="DM Sans" w:hAnsi="DM Sans"/>
          <w:color w:val="1A1A1A"/>
          <w:sz w:val="21"/>
          <w:szCs w:val="21"/>
        </w:rPr>
        <w:t xml:space="preserve">For genuinely trivial requests — a few minutes, no material risk, clearly connected to goodwill rather than a new piece of work — the fee-earner may absorb it. This is a deliberate choice, recorded briefly in a file note, not a default reflex to avoid a conversation.</w:t>
      </w:r>
    </w:p>
    <w:p>
      <w:pPr>
        <w:spacing w:after="120" w:before="260"/>
      </w:pPr>
      <w:r>
        <w:rPr>
          <w:rFonts w:ascii="Cormorant Garamond" w:cs="Cormorant Garamond" w:eastAsia="Cormorant Garamond" w:hAnsi="Cormorant Garamond"/>
          <w:b/>
          <w:bCs/>
          <w:color w:val="0C5C52"/>
          <w:sz w:val="22"/>
          <w:szCs w:val="22"/>
        </w:rPr>
        <w:t xml:space="preserve">5.2 Quote &amp; Vary It</w:t>
      </w:r>
    </w:p>
    <w:p>
      <w:pPr>
        <w:spacing w:after="160" w:line="300" w:lineRule="auto"/>
      </w:pPr>
      <w:r>
        <w:rPr>
          <w:rFonts w:ascii="DM Sans" w:cs="DM Sans" w:eastAsia="DM Sans" w:hAnsi="DM Sans"/>
          <w:color w:val="1A1A1A"/>
          <w:sz w:val="21"/>
          <w:szCs w:val="21"/>
        </w:rPr>
        <w:t xml:space="preserve">The default path for anything beyond trivial. The fee-earner names the request as outside scope, references the clause in Section 4, and provides a fee estimate for the additional work before undertaking it.</w:t>
      </w:r>
    </w:p>
    <w:p>
      <w:pPr>
        <w:spacing w:after="120" w:before="260"/>
      </w:pPr>
      <w:r>
        <w:rPr>
          <w:rFonts w:ascii="Cormorant Garamond" w:cs="Cormorant Garamond" w:eastAsia="Cormorant Garamond" w:hAnsi="Cormorant Garamond"/>
          <w:b/>
          <w:bCs/>
          <w:color w:val="0C5C52"/>
          <w:sz w:val="22"/>
          <w:szCs w:val="22"/>
        </w:rPr>
        <w:t xml:space="preserve">5.3 Decline It</w:t>
      </w:r>
    </w:p>
    <w:p>
      <w:pPr>
        <w:spacing w:after="160" w:line="300" w:lineRule="auto"/>
      </w:pPr>
      <w:r>
        <w:rPr>
          <w:rFonts w:ascii="DM Sans" w:cs="DM Sans" w:eastAsia="DM Sans" w:hAnsi="DM Sans"/>
          <w:color w:val="1A1A1A"/>
          <w:sz w:val="21"/>
          <w:szCs w:val="21"/>
        </w:rPr>
        <w:t xml:space="preserve">Where the request falls outside the firm's expertise, or isn't a piece of work the firm wants to take on for this client, the fee-earner declines and, where appropriate, refers elsewhere.</w:t>
      </w:r>
    </w:p>
    <w:p>
      <w:pPr>
        <w:pBdr>
          <w:left w:val="single" w:color="3A9E91" w:sz="18" w:space="8"/>
        </w:pBdr>
        <w:shd w:fill="EEF5F4" w:color="auto" w:val="clear"/>
        <w:spacing w:after="200" w:before="100"/>
        <w:ind w:left="200"/>
      </w:pPr>
      <w:r>
        <w:rPr>
          <w:rFonts w:ascii="DM Sans" w:cs="DM Sans" w:eastAsia="DM Sans" w:hAnsi="DM Sans"/>
          <w:b/>
          <w:bCs/>
          <w:color w:val="0C5C52"/>
          <w:sz w:val="19"/>
          <w:szCs w:val="19"/>
        </w:rPr>
        <w:t xml:space="preserve">NOTE — </w:t>
      </w:r>
      <w:r>
        <w:rPr>
          <w:rFonts w:ascii="DM Sans" w:cs="DM Sans" w:eastAsia="DM Sans" w:hAnsi="DM Sans"/>
          <w:i/>
          <w:iCs/>
          <w:color w:val="5B6B6E"/>
          <w:sz w:val="19"/>
          <w:szCs w:val="19"/>
        </w:rPr>
        <w:t xml:space="preserve">“Absorb It” should be the least common response. If it's becoming the default for a particular client, that pattern is itself the signal — see Section 6.</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6. CLIENT RESISTANCE AS A SIGNAL</w:t>
      </w:r>
    </w:p>
    <w:p>
      <w:pPr>
        <w:spacing w:after="160" w:line="300" w:lineRule="auto"/>
      </w:pPr>
      <w:r>
        <w:rPr>
          <w:rFonts w:ascii="DM Sans" w:cs="DM Sans" w:eastAsia="DM Sans" w:hAnsi="DM Sans"/>
          <w:color w:val="1A1A1A"/>
          <w:sz w:val="21"/>
          <w:szCs w:val="21"/>
        </w:rPr>
        <w:t xml:space="preserve">If a client resists being told a request falls outside scope — arguing it's “basically the same thing” or “should be included” — this is treated as a signal about the relationship, not just a scope dispute. Before continuing, the fee-earner should:</w:t>
      </w:r>
    </w:p>
    <w:p>
      <w:pPr>
        <w:pStyle w:val="ListParagraph"/>
        <w:numPr>
          <w:ilvl w:val="0"/>
          <w:numId w:val="2"/>
        </w:numPr>
        <w:spacing w:after="90" w:line="290" w:lineRule="auto"/>
      </w:pPr>
      <w:r>
        <w:rPr>
          <w:rFonts w:ascii="DM Sans" w:cs="DM Sans" w:eastAsia="DM Sans" w:hAnsi="DM Sans"/>
          <w:color w:val="1A1A1A"/>
          <w:sz w:val="21"/>
          <w:szCs w:val="21"/>
        </w:rPr>
        <w:t xml:space="preserve">Note the resistance in a file note — what was asked, and how the client responded to the scope boundary.</w:t>
      </w:r>
    </w:p>
    <w:p>
      <w:pPr>
        <w:pStyle w:val="ListParagraph"/>
        <w:numPr>
          <w:ilvl w:val="0"/>
          <w:numId w:val="2"/>
        </w:numPr>
        <w:spacing w:after="90" w:line="290" w:lineRule="auto"/>
      </w:pPr>
      <w:r>
        <w:rPr>
          <w:rFonts w:ascii="DM Sans" w:cs="DM Sans" w:eastAsia="DM Sans" w:hAnsi="DM Sans"/>
          <w:color w:val="1A1A1A"/>
          <w:sz w:val="21"/>
          <w:szCs w:val="21"/>
        </w:rPr>
        <w:t xml:space="preserve">Assess whether this is a one-off, or a pattern of testing the boundary on this matter.</w:t>
      </w:r>
    </w:p>
    <w:p>
      <w:pPr>
        <w:pStyle w:val="ListParagraph"/>
        <w:numPr>
          <w:ilvl w:val="0"/>
          <w:numId w:val="2"/>
        </w:numPr>
        <w:spacing w:after="90" w:line="290" w:lineRule="auto"/>
      </w:pPr>
      <w:r>
        <w:rPr>
          <w:rFonts w:ascii="DM Sans" w:cs="DM Sans" w:eastAsia="DM Sans" w:hAnsi="DM Sans"/>
          <w:color w:val="1A1A1A"/>
          <w:sz w:val="21"/>
          <w:szCs w:val="21"/>
        </w:rPr>
        <w:t xml:space="preserve">Decide: proceed on the quoted terms, escalate to a principal, or treat repeated boundary-testing as data on whether this client is priced correctly.</w:t>
      </w:r>
    </w:p>
    <w:p>
      <w:pPr>
        <w:pBdr>
          <w:left w:val="single" w:color="3A9E91" w:sz="18" w:space="8"/>
        </w:pBdr>
        <w:shd w:fill="EEF5F4" w:color="auto" w:val="clear"/>
        <w:spacing w:after="200" w:before="100"/>
        <w:ind w:left="200"/>
      </w:pPr>
      <w:r>
        <w:rPr>
          <w:rFonts w:ascii="DM Sans" w:cs="DM Sans" w:eastAsia="DM Sans" w:hAnsi="DM Sans"/>
          <w:b/>
          <w:bCs/>
          <w:color w:val="0C5C52"/>
          <w:sz w:val="19"/>
          <w:szCs w:val="19"/>
        </w:rPr>
        <w:t xml:space="preserve">NOTE — </w:t>
      </w:r>
      <w:r>
        <w:rPr>
          <w:rFonts w:ascii="DM Sans" w:cs="DM Sans" w:eastAsia="DM Sans" w:hAnsi="DM Sans"/>
          <w:i/>
          <w:iCs/>
          <w:color w:val="5B6B6E"/>
          <w:sz w:val="19"/>
          <w:szCs w:val="19"/>
        </w:rPr>
        <w:t xml:space="preserve">A fee-earner who is not a principal should raise a pattern of scope pushback with a principal before it quietly becomes the norm for that client.</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7. EXCEPTIONS &amp; PRINCIPAL DISCRETION</w:t>
      </w:r>
    </w:p>
    <w:p>
      <w:pPr>
        <w:spacing w:after="160" w:line="300" w:lineRule="auto"/>
      </w:pPr>
      <w:r>
        <w:rPr>
          <w:rFonts w:ascii="DM Sans" w:cs="DM Sans" w:eastAsia="DM Sans" w:hAnsi="DM Sans"/>
          <w:color w:val="1A1A1A"/>
          <w:sz w:val="21"/>
          <w:szCs w:val="21"/>
        </w:rPr>
        <w:t xml:space="preserve">A principal may approve absorbing out-of-scope work beyond what this policy would otherwise allow — for example, for a strategic client or a referral relationship. Any exception must be recorded in writing on the file.</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8. POLICY REVIEW</w:t>
      </w:r>
    </w:p>
    <w:p>
      <w:pPr>
        <w:spacing w:after="160" w:line="300" w:lineRule="auto"/>
      </w:pPr>
      <w:r>
        <w:rPr>
          <w:rFonts w:ascii="DM Sans" w:cs="DM Sans" w:eastAsia="DM Sans" w:hAnsi="DM Sans"/>
          <w:color w:val="1A1A1A"/>
          <w:sz w:val="21"/>
          <w:szCs w:val="21"/>
        </w:rPr>
        <w:t xml:space="preserve">This policy is reviewed at least annually, and whenever the firm's unbilled-time or realisation data indicates out-of-scope work is being absorbed more often, or more broadly, than intended.</w:t>
      </w:r>
    </w:p>
    <w:p>
      <w:pPr>
        <w:pBdr>
          <w:left w:val="single" w:color="3A9E91" w:sz="18" w:space="8"/>
        </w:pBdr>
        <w:shd w:fill="EEF5F4" w:color="auto" w:val="clear"/>
        <w:spacing w:after="200" w:before="100"/>
        <w:ind w:left="200"/>
      </w:pPr>
      <w:r>
        <w:rPr>
          <w:rFonts w:ascii="DM Sans" w:cs="DM Sans" w:eastAsia="DM Sans" w:hAnsi="DM Sans"/>
          <w:b/>
          <w:bCs/>
          <w:color w:val="0C5C52"/>
          <w:sz w:val="19"/>
          <w:szCs w:val="19"/>
        </w:rPr>
        <w:t xml:space="preserve">NOTE — </w:t>
      </w:r>
      <w:r>
        <w:rPr>
          <w:rFonts w:ascii="DM Sans" w:cs="DM Sans" w:eastAsia="DM Sans" w:hAnsi="DM Sans"/>
          <w:i/>
          <w:iCs/>
          <w:color w:val="5B6B6E"/>
          <w:sz w:val="19"/>
          <w:szCs w:val="19"/>
        </w:rPr>
        <w:t xml:space="preserve">Draft v1.0 — the clause wording, thresholds, and examples are starting positions for the firm's principals to confirm before this is adopted as firm policy.</w:t>
      </w:r>
    </w:p>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DM Sans" w:cs="DM Sans" w:eastAsia="DM Sans" w:hAnsi="DM Sans"/>
        <w:color w:val="5B6B6E"/>
        <w:sz w:val="15"/>
        <w:szCs w:val="15"/>
      </w:rPr>
      <w:t xml:space="preserve">Internal policy — not for client distribution</w:t>
    </w:r>
    <w:r>
      <w:rPr>
        <w:rFonts w:ascii="DM Sans" w:cs="DM Sans" w:eastAsia="DM Sans" w:hAnsi="DM Sans"/>
        <w:color w:val="5B6B6E"/>
        <w:sz w:val="15"/>
        <w:szCs w:val="15"/>
      </w:rPr>
      <w:t xml:space="preserve">Page </w:t>
    </w:r>
    <w:r>
      <w:rPr>
        <w:rFonts w:ascii="DM Sans" w:cs="DM Sans" w:eastAsia="DM Sans" w:hAnsi="DM Sans"/>
        <w:color w:val="5B6B6E"/>
        <w:sz w:val="15"/>
        <w:szCs w:val="15"/>
      </w:rPr>
      <w:fldChar w:fldCharType="begin"/>
      <w:instrText xml:space="preserve">PAGE</w:instrText>
      <w:fldChar w:fldCharType="separate"/>
      <w:fldChar w:fldCharType="end"/>
    </w:r>
    <w:r>
      <w:rPr>
        <w:rFonts w:ascii="DM Sans" w:cs="DM Sans" w:eastAsia="DM Sans" w:hAnsi="DM Sans"/>
        <w:color w:val="5B6B6E"/>
        <w:sz w:val="15"/>
        <w:szCs w:val="15"/>
      </w:rPr>
      <w:t xml:space="preserve"> of </w:t>
    </w:r>
    <w:r>
      <w:rPr>
        <w:rFonts w:ascii="DM Sans" w:cs="DM Sans" w:eastAsia="DM Sans" w:hAnsi="DM Sans"/>
        <w:color w:val="5B6B6E"/>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C5C52" w:sz="6" w:space="6"/>
      </w:pBdr>
      <w:tabs>
        <w:tab w:val="right" w:pos="9026"/>
      </w:tabs>
    </w:pPr>
    <w:r>
      <w:rPr>
        <w:rFonts w:ascii="DM Sans" w:cs="DM Sans" w:eastAsia="DM Sans" w:hAnsi="DM Sans"/>
        <w:b/>
        <w:bCs/>
        <w:color w:val="0D2B36"/>
        <w:sz w:val="16"/>
        <w:szCs w:val="16"/>
      </w:rPr>
      <w:t xml:space="preserve">[FIRM NAME]</w:t>
    </w:r>
    <w:r>
      <w:rPr>
        <w:rFonts w:ascii="DM Sans" w:cs="DM Sans" w:eastAsia="DM Sans" w:hAnsi="DM Sans"/>
        <w:color w:val="5B6B6E"/>
        <w:sz w:val="16"/>
        <w:szCs w:val="16"/>
      </w:rPr>
      <w:t xml:space="preserve">	Scope &amp; Variation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2026-07-29T04:03:20.524Z</dcterms:created>
  <dcterms:modified xsi:type="dcterms:W3CDTF">2026-07-29T04:03:20.539Z</dcterms:modified>
</cp:coreProperties>
</file>

<file path=docProps/custom.xml><?xml version="1.0" encoding="utf-8"?>
<Properties xmlns="http://schemas.openxmlformats.org/officeDocument/2006/custom-properties" xmlns:vt="http://schemas.openxmlformats.org/officeDocument/2006/docPropsVTypes"/>
</file>