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D6969" w14:textId="77777777" w:rsidR="004044AF" w:rsidRDefault="00000000">
      <w:pPr>
        <w:spacing w:after="60"/>
      </w:pPr>
      <w:r>
        <w:rPr>
          <w:rFonts w:ascii="Cormorant Garamond" w:eastAsia="Cormorant Garamond" w:hAnsi="Cormorant Garamond" w:cs="Cormorant Garamond"/>
          <w:b/>
          <w:bCs/>
          <w:color w:val="0D2B36"/>
          <w:sz w:val="52"/>
          <w:szCs w:val="52"/>
        </w:rPr>
        <w:t>FEE PAYMENT</w:t>
      </w:r>
    </w:p>
    <w:p w14:paraId="6531BB95" w14:textId="77777777" w:rsidR="004044AF" w:rsidRDefault="00000000">
      <w:pPr>
        <w:spacing w:after="200"/>
      </w:pPr>
      <w:r>
        <w:rPr>
          <w:rFonts w:ascii="Cormorant Garamond" w:eastAsia="Cormorant Garamond" w:hAnsi="Cormorant Garamond" w:cs="Cormorant Garamond"/>
          <w:b/>
          <w:bCs/>
          <w:color w:val="0C5C52"/>
          <w:sz w:val="52"/>
          <w:szCs w:val="52"/>
        </w:rPr>
        <w:t>PRICING POLICY</w:t>
      </w:r>
    </w:p>
    <w:p w14:paraId="3FF6262F" w14:textId="77777777" w:rsidR="004044AF" w:rsidRDefault="00000000">
      <w:pPr>
        <w:pBdr>
          <w:bottom w:val="single" w:sz="18" w:space="10" w:color="3A9E91"/>
        </w:pBdr>
        <w:spacing w:after="240"/>
      </w:pPr>
      <w:r>
        <w:rPr>
          <w:rFonts w:ascii="DM Sans" w:eastAsia="DM Sans" w:hAnsi="DM Sans" w:cs="DM Sans"/>
          <w:i/>
          <w:iCs/>
          <w:color w:val="5B6B6E"/>
        </w:rPr>
        <w:t xml:space="preserve">Sheridan Legal  ·  Version 1.0 (draft)  ·  Effective date: TBC  ·  Owner: Patrick Sheridan</w:t>
      </w:r>
    </w:p>
    <w:p w14:paraId="3FF62630" w:rsidR="004044AF" w:rsidRDefault="00000000">
      <w:pPr>
        <w:pBdr>
          <w:left w:val="single" w:sz="24" w:space="10" w:color="0D2B36"/>
        </w:pBdr>
        <w:spacing w:before="160" w:after="280"/>
        <w:ind w:left="220"/>
      </w:pPr>
      <w:r>
        <w:rPr>
          <w:rFonts w:ascii="Cormorant Garamond" w:eastAsia="Cormorant Garamond" w:hAnsi="Cormorant Garamond" w:cs="Cormorant Garamond"/>
          <w:i/>
          <w:iCs/>
          <w:color w:val="0D2B36"/>
          <w:sz w:val="25"/>
          <w:szCs w:val="25"/>
        </w:rPr>
        <w:t>This policy is a filter as much as a schedule. How a prospective client responds to these terms is often the clearest information the firm gets before it's done a single hour of work.</w:t>
      </w:r>
    </w:p>
    <w:p w14:paraId="6123B7DB" w14:textId="77777777" w:rsidR="004044AF" w:rsidRDefault="00000000">
      <w:pPr>
        <w:pBdr>
          <w:bottom w:val="single" w:sz="12" w:space="4" w:color="0C5C52"/>
        </w:pBdr>
        <w:spacing w:before="400" w:after="200"/>
      </w:pPr>
      <w:r>
        <w:rPr>
          <w:rFonts w:ascii="Cormorant Garamond" w:eastAsia="Cormorant Garamond" w:hAnsi="Cormorant Garamond" w:cs="Cormorant Garamond"/>
          <w:b/>
          <w:bCs/>
          <w:color w:val="0D2B36"/>
          <w:sz w:val="26"/>
          <w:szCs w:val="26"/>
        </w:rPr>
        <w:t>1. PURPOSE</w:t>
      </w:r>
    </w:p>
    <w:p w14:paraId="32514425" w14:textId="77777777" w:rsidR="004044AF" w:rsidRDefault="00000000">
      <w:pPr>
        <w:spacing w:after="160" w:line="300" w:lineRule="auto"/>
      </w:pPr>
      <w:r>
        <w:rPr>
          <w:rFonts w:ascii="DM Sans" w:eastAsia="DM Sans" w:hAnsi="DM Sans" w:cs="DM Sans"/>
          <w:color w:val="1A1A1A"/>
          <w:sz w:val="21"/>
          <w:szCs w:val="21"/>
        </w:rPr>
        <w:t>This policy sets the firm's standard approach to charging and collecting legal fees across the life of a matter. It ensures fees are billed in step with work performed, protects the firm's cash flow and work in progress position, and gives clients clarity up front about how and when they will be asked to pay.</w:t>
      </w:r>
    </w:p>
    <w:p w14:paraId="72B01561" w14:textId="5EDDAD86" w:rsidR="004044AF" w:rsidRDefault="00000000">
      <w:pPr>
        <w:spacing w:after="160" w:line="300" w:lineRule="auto"/>
      </w:pPr>
      <w:r>
        <w:rPr>
          <w:rFonts w:ascii="DM Sans" w:eastAsia="DM Sans" w:hAnsi="DM Sans" w:cs="DM Sans"/>
          <w:color w:val="1A1A1A"/>
          <w:sz w:val="21"/>
          <w:szCs w:val="21"/>
        </w:rPr>
        <w:t xml:space="preserve">The payment structure is also a filter: clients unable or unwilling to meet these terms are a credit risk signal that should inform the retainer decision, not just the billing schedule.</w:t>
      </w:r>
    </w:p>
    <w:p w14:paraId="72B01562" w14:textId="5EDDAD87" w:rsidR="004044AF" w:rsidRDefault="00000000">
      <w:pPr>
        <w:spacing w:after="160" w:line="300" w:lineRule="auto"/>
      </w:pPr>
      <w:r>
        <w:rPr>
          <w:rFonts w:ascii="DM Sans" w:eastAsia="DM Sans" w:hAnsi="DM Sans" w:cs="DM Sans"/>
          <w:color w:val="1A1A1A"/>
          <w:sz w:val="21"/>
          <w:szCs w:val="21"/>
        </w:rPr>
        <w:t xml:space="preserve">This policy operates alongside, and does not override, the firm's obligations under the Legal Profession Uniform Law (NSW) and the Legal Profession Uniform Law Australian Solicitors' Conduct Rules — in particular costs disclosure, costs agreements, and trust money handling requirements. Where this policy and those obligations appear to conflict, the statutory obligation prevails, and the matter should be raised with Patrick or Micheline before proceeding.</w:t>
      </w:r>
    </w:p>
    <w:p w14:paraId="6831378D" w14:textId="77777777" w:rsidR="004044AF" w:rsidRDefault="00000000">
      <w:pPr>
        <w:pBdr>
          <w:bottom w:val="single" w:sz="12" w:space="4" w:color="0C5C52"/>
        </w:pBdr>
        <w:spacing w:before="400" w:after="200"/>
      </w:pPr>
      <w:r>
        <w:rPr>
          <w:rFonts w:ascii="Cormorant Garamond" w:eastAsia="Cormorant Garamond" w:hAnsi="Cormorant Garamond" w:cs="Cormorant Garamond"/>
          <w:b/>
          <w:bCs/>
          <w:color w:val="0D2B36"/>
          <w:sz w:val="26"/>
          <w:szCs w:val="26"/>
        </w:rPr>
        <w:t>2. SCOPE</w:t>
      </w:r>
    </w:p>
    <w:p w14:paraId="432D0C17" w14:textId="77777777" w:rsidR="004044AF" w:rsidRDefault="00000000">
      <w:pPr>
        <w:spacing w:after="160" w:line="300" w:lineRule="auto"/>
      </w:pPr>
      <w:r>
        <w:rPr>
          <w:rFonts w:ascii="DM Sans" w:eastAsia="DM Sans" w:hAnsi="DM Sans" w:cs="DM Sans"/>
          <w:color w:val="1A1A1A"/>
          <w:sz w:val="21"/>
          <w:szCs w:val="21"/>
        </w:rPr>
        <w:t>This policy applies to all fee-charging matters accepted by Sheridan Legal, other than:</w:t>
      </w:r>
    </w:p>
    <w:p w14:paraId="3235AF77" w14:textId="77777777" w:rsidR="004044AF" w:rsidRDefault="00000000">
      <w:pPr>
        <w:pStyle w:val="ListParagraph"/>
        <w:numPr>
          <w:ilvl w:val="0"/>
          <w:numId w:val="2"/>
        </w:numPr>
        <w:spacing w:after="90" w:line="290" w:lineRule="auto"/>
      </w:pPr>
      <w:r>
        <w:rPr>
          <w:rFonts w:ascii="DM Sans" w:eastAsia="DM Sans" w:hAnsi="DM Sans" w:cs="DM Sans"/>
          <w:color w:val="1A1A1A"/>
          <w:sz w:val="21"/>
          <w:szCs w:val="21"/>
        </w:rPr>
        <w:t>Matters covered by a fixed-fee product with its own published payment terms (e.g. a standard residential conveyance package priced and collected under a separate schedule).</w:t>
      </w:r>
    </w:p>
    <w:p w14:paraId="50992B4A" w14:textId="77777777" w:rsidR="004044AF" w:rsidRDefault="00000000">
      <w:pPr>
        <w:pStyle w:val="ListParagraph"/>
        <w:numPr>
          <w:ilvl w:val="0"/>
          <w:numId w:val="2"/>
        </w:numPr>
        <w:spacing w:after="90" w:line="290" w:lineRule="auto"/>
      </w:pPr>
      <w:r>
        <w:rPr>
          <w:rFonts w:ascii="DM Sans" w:eastAsia="DM Sans" w:hAnsi="DM Sans" w:cs="DM Sans"/>
          <w:color w:val="1A1A1A"/>
          <w:sz w:val="21"/>
          <w:szCs w:val="21"/>
        </w:rPr>
        <w:t xml:space="preserve">Matters undertaken on a conditional, speculative, or no-win-no-fee basis, which are governed by their own costs agreement.</w:t>
      </w:r>
    </w:p>
    <w:p w14:paraId="1F1EA587" w14:textId="77777777" w:rsidR="004044AF" w:rsidRDefault="00000000">
      <w:pPr>
        <w:pStyle w:val="ListParagraph"/>
        <w:numPr>
          <w:ilvl w:val="0"/>
          <w:numId w:val="2"/>
        </w:numPr>
        <w:spacing w:after="90" w:line="290" w:lineRule="auto"/>
      </w:pPr>
      <w:r>
        <w:rPr>
          <w:rFonts w:ascii="DM Sans" w:eastAsia="DM Sans" w:hAnsi="DM Sans" w:cs="DM Sans"/>
          <w:color w:val="1A1A1A"/>
          <w:sz w:val="21"/>
          <w:szCs w:val="21"/>
        </w:rPr>
        <w:t>Matters where a principal has approved different terms in writing under Section 8 (Exceptions).</w:t>
      </w:r>
    </w:p>
    <w:p w14:paraId="75C0F83E" w14:textId="77777777" w:rsidR="004044AF" w:rsidRDefault="00000000">
      <w:pPr>
        <w:pBdr>
          <w:bottom w:val="single" w:sz="12" w:space="4" w:color="0C5C52"/>
        </w:pBdr>
        <w:spacing w:before="400" w:after="200"/>
      </w:pPr>
      <w:r>
        <w:rPr>
          <w:rFonts w:ascii="Cormorant Garamond" w:eastAsia="Cormorant Garamond" w:hAnsi="Cormorant Garamond" w:cs="Cormorant Garamond"/>
          <w:b/>
          <w:bCs/>
          <w:color w:val="0D2B36"/>
          <w:sz w:val="26"/>
          <w:szCs w:val="26"/>
        </w:rPr>
        <w:t>3. STRUCTURE OF PAYMENT</w:t>
      </w:r>
    </w:p>
    <w:p w14:paraId="07005851" w14:textId="77777777" w:rsidR="004044AF" w:rsidRDefault="00000000">
      <w:pPr>
        <w:spacing w:after="160" w:line="300" w:lineRule="auto"/>
      </w:pPr>
      <w:r>
        <w:rPr>
          <w:rFonts w:ascii="DM Sans" w:eastAsia="DM Sans" w:hAnsi="DM Sans" w:cs="DM Sans"/>
          <w:color w:val="1A1A1A"/>
          <w:sz w:val="21"/>
          <w:szCs w:val="21"/>
        </w:rPr>
        <w:t>Every matter in scope is billed in three stages:</w:t>
      </w:r>
    </w:p>
    <w:p w14:paraId="3348BD38" w14:textId="77777777" w:rsidR="004044AF" w:rsidRDefault="00000000">
      <w:pPr>
        <w:pStyle w:val="ListParagraph"/>
        <w:numPr>
          <w:ilvl w:val="0"/>
          <w:numId w:val="2"/>
        </w:numPr>
        <w:spacing w:after="90" w:line="290" w:lineRule="auto"/>
      </w:pPr>
      <w:r>
        <w:rPr>
          <w:rFonts w:ascii="DM Sans" w:eastAsia="DM Sans" w:hAnsi="DM Sans" w:cs="DM Sans"/>
          <w:color w:val="1A1A1A"/>
          <w:sz w:val="21"/>
          <w:szCs w:val="21"/>
        </w:rPr>
        <w:t>An upfront payment on acceptance of the retainer, before substantive work begins.</w:t>
      </w:r>
    </w:p>
    <w:p w14:paraId="088FE41D" w14:textId="77777777" w:rsidR="004044AF" w:rsidRDefault="00000000">
      <w:pPr>
        <w:pStyle w:val="ListParagraph"/>
        <w:numPr>
          <w:ilvl w:val="0"/>
          <w:numId w:val="2"/>
        </w:numPr>
        <w:spacing w:after="90" w:line="290" w:lineRule="auto"/>
      </w:pPr>
      <w:r>
        <w:rPr>
          <w:rFonts w:ascii="DM Sans" w:eastAsia="DM Sans" w:hAnsi="DM Sans" w:cs="DM Sans"/>
          <w:color w:val="1A1A1A"/>
          <w:sz w:val="21"/>
          <w:szCs w:val="21"/>
        </w:rPr>
        <w:t>Periodic (progress) payments through the life of the file, timed to the expected length of the matter.</w:t>
      </w:r>
    </w:p>
    <w:p w14:paraId="132EED0D" w14:textId="77777777" w:rsidR="004044AF" w:rsidRDefault="00000000">
      <w:pPr>
        <w:pStyle w:val="ListParagraph"/>
        <w:numPr>
          <w:ilvl w:val="0"/>
          <w:numId w:val="2"/>
        </w:numPr>
        <w:spacing w:after="90" w:line="290" w:lineRule="auto"/>
      </w:pPr>
      <w:r>
        <w:rPr>
          <w:rFonts w:ascii="DM Sans" w:eastAsia="DM Sans" w:hAnsi="DM Sans" w:cs="DM Sans"/>
          <w:color w:val="1A1A1A"/>
          <w:sz w:val="21"/>
          <w:szCs w:val="21"/>
        </w:rPr>
        <w:t>A final payment on completion, or an agreed payment arrangement documented in writing before the file closes.</w:t>
      </w:r>
    </w:p>
    <w:p w14:paraId="0A48CE43" w14:textId="77777777" w:rsidR="004044AF" w:rsidRDefault="00000000">
      <w:pPr>
        <w:spacing w:before="260" w:after="120"/>
      </w:pPr>
      <w:r>
        <w:rPr>
          <w:rFonts w:ascii="Cormorant Garamond" w:eastAsia="Cormorant Garamond" w:hAnsi="Cormorant Garamond" w:cs="Cormorant Garamond"/>
          <w:b/>
          <w:bCs/>
          <w:color w:val="0C5C52"/>
          <w:sz w:val="22"/>
          <w:szCs w:val="22"/>
        </w:rPr>
        <w:t>3.1 Upfront Payment — 33% to 50%</w:t>
      </w:r>
    </w:p>
    <w:p w14:paraId="261D9F35" w14:textId="77777777" w:rsidR="004044AF" w:rsidRDefault="00000000">
      <w:pPr>
        <w:spacing w:after="160" w:line="300" w:lineRule="auto"/>
      </w:pPr>
      <w:r>
        <w:rPr>
          <w:rFonts w:ascii="DM Sans" w:eastAsia="DM Sans" w:hAnsi="DM Sans" w:cs="DM Sans"/>
          <w:color w:val="1A1A1A"/>
          <w:sz w:val="21"/>
          <w:szCs w:val="21"/>
        </w:rPr>
        <w:t>The upfront payment is fixed as a percentage of the estimated total fee, disclosed in the client's costs agreement, and payable before work commences (and, for conveyancing matters, banked to trust in accordance with trust account rules until billed).</w:t>
      </w:r>
    </w:p>
    <w:p w14:paraId="597176F0" w14:textId="77777777" w:rsidR="004044AF" w:rsidRDefault="00000000">
      <w:pPr>
        <w:pStyle w:val="ListParagraph"/>
        <w:numPr>
          <w:ilvl w:val="0"/>
          <w:numId w:val="2"/>
        </w:numPr>
        <w:spacing w:after="90" w:line="290" w:lineRule="auto"/>
      </w:pPr>
      <w:r>
        <w:rPr>
          <w:rFonts w:ascii="DM Sans" w:eastAsia="DM Sans" w:hAnsi="DM Sans" w:cs="DM Sans"/>
          <w:color w:val="1A1A1A"/>
          <w:sz w:val="21"/>
          <w:szCs w:val="21"/>
        </w:rPr>
        <w:lastRenderedPageBreak/>
        <w:t>33% — the default position for most matters: established client, low-to-moderate complexity, standard risk profile.</w:t>
      </w:r>
    </w:p>
    <w:p w14:paraId="70ECC85A" w14:textId="77777777" w:rsidR="004044AF" w:rsidRDefault="00000000">
      <w:pPr>
        <w:pStyle w:val="ListParagraph"/>
        <w:numPr>
          <w:ilvl w:val="0"/>
          <w:numId w:val="2"/>
        </w:numPr>
        <w:spacing w:after="90" w:line="290" w:lineRule="auto"/>
      </w:pPr>
      <w:r>
        <w:rPr>
          <w:rFonts w:ascii="DM Sans" w:eastAsia="DM Sans" w:hAnsi="DM Sans" w:cs="DM Sans"/>
          <w:color w:val="1A1A1A"/>
          <w:sz w:val="21"/>
          <w:szCs w:val="21"/>
        </w:rPr>
        <w:t>Up to 50% — applied where the matter carries higher risk of an extended timeline, fee variability, or credit risk — for example a new client with no prior payment history, a complex or contested matter, or a file where the likely duration cannot yet be estimated with confidence.</w:t>
      </w:r>
    </w:p>
    <w:p w14:paraId="46CF0581" w14:textId="77777777" w:rsidR="004044AF" w:rsidRDefault="00000000">
      <w:pPr>
        <w:pBdr>
          <w:left w:val="single" w:sz="18" w:space="8" w:color="3A9E91"/>
        </w:pBdr>
        <w:shd w:val="clear" w:color="auto" w:fill="EEF5F4"/>
        <w:spacing w:before="100" w:after="200"/>
        <w:ind w:left="200"/>
      </w:pPr>
      <w:r>
        <w:rPr>
          <w:rFonts w:ascii="DM Sans" w:eastAsia="DM Sans" w:hAnsi="DM Sans" w:cs="DM Sans"/>
          <w:b/>
          <w:bCs/>
          <w:color w:val="0C5C52"/>
          <w:sz w:val="19"/>
          <w:szCs w:val="19"/>
        </w:rPr>
        <w:t xml:space="preserve">NOTE — </w:t>
      </w:r>
      <w:r>
        <w:rPr>
          <w:rFonts w:ascii="DM Sans" w:eastAsia="DM Sans" w:hAnsi="DM Sans" w:cs="DM Sans"/>
          <w:i/>
          <w:iCs/>
          <w:color w:val="5B6B6E"/>
          <w:sz w:val="19"/>
          <w:szCs w:val="19"/>
        </w:rPr>
        <w:t>The exact percentage within the 33–50% band is a matter of fee-earner and principal judgement at the time the costs agreement is prepared. Where in doubt, start at 40% and record the reasoning in the file note. Where the higher end of the band applies because of credit risk, a client who won't agree to it is answering the accept/decline question directly — see Section 6.1.</w:t>
      </w:r>
    </w:p>
    <w:p w14:paraId="0F12F36B" w14:textId="77777777" w:rsidR="004044AF" w:rsidRDefault="00000000">
      <w:pPr>
        <w:spacing w:before="260" w:after="120"/>
      </w:pPr>
      <w:r>
        <w:rPr>
          <w:rFonts w:ascii="Cormorant Garamond" w:eastAsia="Cormorant Garamond" w:hAnsi="Cormorant Garamond" w:cs="Cormorant Garamond"/>
          <w:b/>
          <w:bCs/>
          <w:color w:val="0C5C52"/>
          <w:sz w:val="22"/>
          <w:szCs w:val="22"/>
        </w:rPr>
        <w:t>3.2 Periodic Payments — set by expected file length</w:t>
      </w:r>
    </w:p>
    <w:p w14:paraId="65110345" w14:textId="77777777" w:rsidR="004044AF" w:rsidRDefault="00000000">
      <w:pPr>
        <w:spacing w:after="160" w:line="300" w:lineRule="auto"/>
      </w:pPr>
      <w:r>
        <w:rPr>
          <w:rFonts w:ascii="DM Sans" w:eastAsia="DM Sans" w:hAnsi="DM Sans" w:cs="DM Sans"/>
          <w:color w:val="1A1A1A"/>
          <w:sz w:val="21"/>
          <w:szCs w:val="21"/>
        </w:rPr>
        <w:t>Once the upfront payment is received, the fee-earner sets a periodic billing schedule based on the expected length of the file in months, per the table below. The schedule is disclosed to the client at the outset and revisited if the estimated timeline materially changes.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500"/>
        <w:gridCol w:w="3400"/>
        <w:gridCol w:w="2500"/>
      </w:tblGrid>
      <w:tr w:rsidR="004044AF" w14:paraId="03A9277F" w14:textId="77777777">
        <w:tblPrEx>
          <w:tblCellMar>
            <w:top w:w="0" w:type="dxa"/>
            <w:bottom w:w="0" w:type="dxa"/>
          </w:tblCellMar>
        </w:tblPrEx>
        <w:trPr>
          <w:tblHeader/>
        </w:trPr>
        <w:tc>
          <w:tcPr>
            <w:tcW w:w="2600" w:type="dxa"/>
            <w:shd w:val="clear" w:color="auto" w:fill="0D2B36"/>
            <w:tcMar>
              <w:top w:w="100" w:type="dxa"/>
              <w:left w:w="140" w:type="dxa"/>
              <w:bottom w:w="100" w:type="dxa"/>
              <w:right w:w="140" w:type="dxa"/>
            </w:tcMar>
            <w:vAlign w:val="center"/>
          </w:tcPr>
          <w:p w14:paraId="58B75F22" w14:textId="77777777" w:rsidR="004044AF" w:rsidRDefault="00000000">
            <w:r>
              <w:rPr>
                <w:rFonts w:ascii="DM Sans" w:eastAsia="DM Sans" w:hAnsi="DM Sans" w:cs="DM Sans"/>
                <w:b/>
                <w:bCs/>
                <w:color w:val="FFFFFF"/>
                <w:sz w:val="19"/>
                <w:szCs w:val="19"/>
              </w:rPr>
              <w:t>File length (acceptance to expected completion)</w:t>
            </w:r>
          </w:p>
        </w:tc>
        <w:tc>
          <w:tcPr>
            <w:tcW w:w="1500" w:type="dxa"/>
            <w:shd w:val="clear" w:color="auto" w:fill="0D2B36"/>
            <w:tcMar>
              <w:top w:w="100" w:type="dxa"/>
              <w:left w:w="140" w:type="dxa"/>
              <w:bottom w:w="100" w:type="dxa"/>
              <w:right w:w="140" w:type="dxa"/>
            </w:tcMar>
            <w:vAlign w:val="center"/>
          </w:tcPr>
          <w:p w14:paraId="0DC978DE" w14:textId="77777777" w:rsidR="004044AF" w:rsidRDefault="00000000">
            <w:r>
              <w:rPr>
                <w:rFonts w:ascii="DM Sans" w:eastAsia="DM Sans" w:hAnsi="DM Sans" w:cs="DM Sans"/>
                <w:b/>
                <w:bCs/>
                <w:color w:val="FFFFFF"/>
                <w:sz w:val="19"/>
                <w:szCs w:val="19"/>
              </w:rPr>
              <w:t>Upfront payment</w:t>
            </w:r>
          </w:p>
        </w:tc>
        <w:tc>
          <w:tcPr>
            <w:tcW w:w="3400" w:type="dxa"/>
            <w:shd w:val="clear" w:color="auto" w:fill="0D2B36"/>
            <w:tcMar>
              <w:top w:w="100" w:type="dxa"/>
              <w:left w:w="140" w:type="dxa"/>
              <w:bottom w:w="100" w:type="dxa"/>
              <w:right w:w="140" w:type="dxa"/>
            </w:tcMar>
            <w:vAlign w:val="center"/>
          </w:tcPr>
          <w:p w14:paraId="052E8424" w14:textId="77777777" w:rsidR="004044AF" w:rsidRDefault="00000000">
            <w:r>
              <w:rPr>
                <w:rFonts w:ascii="DM Sans" w:eastAsia="DM Sans" w:hAnsi="DM Sans" w:cs="DM Sans"/>
                <w:b/>
                <w:bCs/>
                <w:color w:val="FFFFFF"/>
                <w:sz w:val="19"/>
                <w:szCs w:val="19"/>
              </w:rPr>
              <w:t>Periodic payments</w:t>
            </w:r>
          </w:p>
        </w:tc>
        <w:tc>
          <w:tcPr>
            <w:tcW w:w="2500" w:type="dxa"/>
            <w:shd w:val="clear" w:color="auto" w:fill="0D2B36"/>
            <w:tcMar>
              <w:top w:w="100" w:type="dxa"/>
              <w:left w:w="140" w:type="dxa"/>
              <w:bottom w:w="100" w:type="dxa"/>
              <w:right w:w="140" w:type="dxa"/>
            </w:tcMar>
            <w:vAlign w:val="center"/>
          </w:tcPr>
          <w:p w14:paraId="649001FD" w14:textId="77777777" w:rsidR="004044AF" w:rsidRDefault="00000000">
            <w:r>
              <w:rPr>
                <w:rFonts w:ascii="DM Sans" w:eastAsia="DM Sans" w:hAnsi="DM Sans" w:cs="DM Sans"/>
                <w:b/>
                <w:bCs/>
                <w:color w:val="FFFFFF"/>
                <w:sz w:val="19"/>
                <w:szCs w:val="19"/>
              </w:rPr>
              <w:t>Final payment</w:t>
            </w:r>
          </w:p>
        </w:tc>
      </w:tr>
      <w:tr w:rsidR="004044AF" w14:paraId="6B6FCC55" w14:textId="77777777">
        <w:tblPrEx>
          <w:tblCellMar>
            <w:top w:w="0" w:type="dxa"/>
            <w:bottom w:w="0" w:type="dxa"/>
          </w:tblCellMar>
        </w:tblPrEx>
        <w:tc>
          <w:tcPr>
            <w:tcW w:w="2600" w:type="dxa"/>
            <w:shd w:val="clear" w:color="auto" w:fill="FFFFFF"/>
            <w:tcMar>
              <w:top w:w="100" w:type="dxa"/>
              <w:left w:w="140" w:type="dxa"/>
              <w:bottom w:w="100" w:type="dxa"/>
              <w:right w:w="140" w:type="dxa"/>
            </w:tcMar>
            <w:vAlign w:val="center"/>
          </w:tcPr>
          <w:p w14:paraId="0B5CEBC9" w14:textId="77777777" w:rsidR="004044AF" w:rsidRDefault="00000000">
            <w:r>
              <w:rPr>
                <w:rFonts w:ascii="DM Sans" w:eastAsia="DM Sans" w:hAnsi="DM Sans" w:cs="DM Sans"/>
                <w:color w:val="1A1A1A"/>
                <w:sz w:val="19"/>
                <w:szCs w:val="19"/>
              </w:rPr>
              <w:t>Up to 1 month (e.g. standard residential conveyance)</w:t>
            </w:r>
          </w:p>
        </w:tc>
        <w:tc>
          <w:tcPr>
            <w:tcW w:w="1500" w:type="dxa"/>
            <w:shd w:val="clear" w:color="auto" w:fill="FFFFFF"/>
            <w:tcMar>
              <w:top w:w="100" w:type="dxa"/>
              <w:left w:w="140" w:type="dxa"/>
              <w:bottom w:w="100" w:type="dxa"/>
              <w:right w:w="140" w:type="dxa"/>
            </w:tcMar>
            <w:vAlign w:val="center"/>
          </w:tcPr>
          <w:p w14:paraId="06CE3DCA" w14:textId="77777777" w:rsidR="004044AF" w:rsidRDefault="00000000">
            <w:r>
              <w:rPr>
                <w:rFonts w:ascii="DM Sans" w:eastAsia="DM Sans" w:hAnsi="DM Sans" w:cs="DM Sans"/>
                <w:b/>
                <w:bCs/>
                <w:color w:val="0C5C52"/>
                <w:sz w:val="19"/>
                <w:szCs w:val="19"/>
              </w:rPr>
              <w:t>50%</w:t>
            </w:r>
          </w:p>
        </w:tc>
        <w:tc>
          <w:tcPr>
            <w:tcW w:w="3400" w:type="dxa"/>
            <w:shd w:val="clear" w:color="auto" w:fill="FFFFFF"/>
            <w:tcMar>
              <w:top w:w="100" w:type="dxa"/>
              <w:left w:w="140" w:type="dxa"/>
              <w:bottom w:w="100" w:type="dxa"/>
              <w:right w:w="140" w:type="dxa"/>
            </w:tcMar>
            <w:vAlign w:val="center"/>
          </w:tcPr>
          <w:p w14:paraId="3125119A" w14:textId="77777777" w:rsidR="004044AF" w:rsidRDefault="00000000">
            <w:r>
              <w:rPr>
                <w:rFonts w:ascii="DM Sans" w:eastAsia="DM Sans" w:hAnsi="DM Sans" w:cs="DM Sans"/>
                <w:color w:val="1A1A1A"/>
                <w:sz w:val="19"/>
                <w:szCs w:val="19"/>
              </w:rPr>
              <w:t>Not applicable — file is short enough that upfront and final payment cover the fee.</w:t>
            </w:r>
          </w:p>
        </w:tc>
        <w:tc>
          <w:tcPr>
            <w:tcW w:w="2500" w:type="dxa"/>
            <w:shd w:val="clear" w:color="auto" w:fill="FFFFFF"/>
            <w:tcMar>
              <w:top w:w="100" w:type="dxa"/>
              <w:left w:w="140" w:type="dxa"/>
              <w:bottom w:w="100" w:type="dxa"/>
              <w:right w:w="140" w:type="dxa"/>
            </w:tcMar>
            <w:vAlign w:val="center"/>
          </w:tcPr>
          <w:p w14:paraId="762102A8" w14:textId="77777777" w:rsidR="004044AF" w:rsidRDefault="00000000">
            <w:r>
              <w:rPr>
                <w:rFonts w:ascii="DM Sans" w:eastAsia="DM Sans" w:hAnsi="DM Sans" w:cs="DM Sans"/>
                <w:color w:val="1A1A1A"/>
                <w:sz w:val="19"/>
                <w:szCs w:val="19"/>
              </w:rPr>
              <w:t>Balance (50%) on or before settlement / completion.</w:t>
            </w:r>
          </w:p>
        </w:tc>
      </w:tr>
      <w:tr w:rsidR="004044AF" w14:paraId="64719457" w14:textId="77777777">
        <w:tblPrEx>
          <w:tblCellMar>
            <w:top w:w="0" w:type="dxa"/>
            <w:bottom w:w="0" w:type="dxa"/>
          </w:tblCellMar>
        </w:tblPrEx>
        <w:tc>
          <w:tcPr>
            <w:tcW w:w="2600" w:type="dxa"/>
            <w:shd w:val="clear" w:color="auto" w:fill="EEF5F4"/>
            <w:tcMar>
              <w:top w:w="100" w:type="dxa"/>
              <w:left w:w="140" w:type="dxa"/>
              <w:bottom w:w="100" w:type="dxa"/>
              <w:right w:w="140" w:type="dxa"/>
            </w:tcMar>
            <w:vAlign w:val="center"/>
          </w:tcPr>
          <w:p w14:paraId="3AFEC8E6" w14:textId="77777777" w:rsidR="004044AF" w:rsidRDefault="00000000">
            <w:r>
              <w:rPr>
                <w:rFonts w:ascii="DM Sans" w:eastAsia="DM Sans" w:hAnsi="DM Sans" w:cs="DM Sans"/>
                <w:color w:val="1A1A1A"/>
                <w:sz w:val="19"/>
                <w:szCs w:val="19"/>
              </w:rPr>
              <w:t>1–3 months</w:t>
            </w:r>
          </w:p>
        </w:tc>
        <w:tc>
          <w:tcPr>
            <w:tcW w:w="1500" w:type="dxa"/>
            <w:shd w:val="clear" w:color="auto" w:fill="EEF5F4"/>
            <w:tcMar>
              <w:top w:w="100" w:type="dxa"/>
              <w:left w:w="140" w:type="dxa"/>
              <w:bottom w:w="100" w:type="dxa"/>
              <w:right w:w="140" w:type="dxa"/>
            </w:tcMar>
            <w:vAlign w:val="center"/>
          </w:tcPr>
          <w:p w14:paraId="5B6DE84F" w14:textId="77777777" w:rsidR="004044AF" w:rsidRDefault="00000000">
            <w:r>
              <w:rPr>
                <w:rFonts w:ascii="DM Sans" w:eastAsia="DM Sans" w:hAnsi="DM Sans" w:cs="DM Sans"/>
                <w:b/>
                <w:bCs/>
                <w:color w:val="0C5C52"/>
                <w:sz w:val="19"/>
                <w:szCs w:val="19"/>
              </w:rPr>
              <w:t>40%</w:t>
            </w:r>
          </w:p>
        </w:tc>
        <w:tc>
          <w:tcPr>
            <w:tcW w:w="3400" w:type="dxa"/>
            <w:shd w:val="clear" w:color="auto" w:fill="EEF5F4"/>
            <w:tcMar>
              <w:top w:w="100" w:type="dxa"/>
              <w:left w:w="140" w:type="dxa"/>
              <w:bottom w:w="100" w:type="dxa"/>
              <w:right w:w="140" w:type="dxa"/>
            </w:tcMar>
            <w:vAlign w:val="center"/>
          </w:tcPr>
          <w:p w14:paraId="227606DA" w14:textId="77777777" w:rsidR="004044AF" w:rsidRDefault="00000000">
            <w:r>
              <w:rPr>
                <w:rFonts w:ascii="DM Sans" w:eastAsia="DM Sans" w:hAnsi="DM Sans" w:cs="DM Sans"/>
                <w:color w:val="1A1A1A"/>
                <w:sz w:val="19"/>
                <w:szCs w:val="19"/>
              </w:rPr>
              <w:t>One progress payment of 30% at the agreed midpoint milestone (e.g. exchange, unconditional date, or halfway point of the retainer).</w:t>
            </w:r>
          </w:p>
        </w:tc>
        <w:tc>
          <w:tcPr>
            <w:tcW w:w="2500" w:type="dxa"/>
            <w:shd w:val="clear" w:color="auto" w:fill="EEF5F4"/>
            <w:tcMar>
              <w:top w:w="100" w:type="dxa"/>
              <w:left w:w="140" w:type="dxa"/>
              <w:bottom w:w="100" w:type="dxa"/>
              <w:right w:w="140" w:type="dxa"/>
            </w:tcMar>
            <w:vAlign w:val="center"/>
          </w:tcPr>
          <w:p w14:paraId="24F19F1B" w14:textId="77777777" w:rsidR="004044AF" w:rsidRDefault="00000000">
            <w:r>
              <w:rPr>
                <w:rFonts w:ascii="DM Sans" w:eastAsia="DM Sans" w:hAnsi="DM Sans" w:cs="DM Sans"/>
                <w:color w:val="1A1A1A"/>
                <w:sz w:val="19"/>
                <w:szCs w:val="19"/>
              </w:rPr>
              <w:t>Balance (30%) on completion, or agreed terms confirmed in writing.</w:t>
            </w:r>
          </w:p>
        </w:tc>
      </w:tr>
      <w:tr w:rsidR="004044AF" w14:paraId="75050AE8" w14:textId="77777777">
        <w:tblPrEx>
          <w:tblCellMar>
            <w:top w:w="0" w:type="dxa"/>
            <w:bottom w:w="0" w:type="dxa"/>
          </w:tblCellMar>
        </w:tblPrEx>
        <w:tc>
          <w:tcPr>
            <w:tcW w:w="2600" w:type="dxa"/>
            <w:shd w:val="clear" w:color="auto" w:fill="FFFFFF"/>
            <w:tcMar>
              <w:top w:w="100" w:type="dxa"/>
              <w:left w:w="140" w:type="dxa"/>
              <w:bottom w:w="100" w:type="dxa"/>
              <w:right w:w="140" w:type="dxa"/>
            </w:tcMar>
            <w:vAlign w:val="center"/>
          </w:tcPr>
          <w:p w14:paraId="7454BD05" w14:textId="77777777" w:rsidR="004044AF" w:rsidRDefault="00000000">
            <w:r>
              <w:rPr>
                <w:rFonts w:ascii="DM Sans" w:eastAsia="DM Sans" w:hAnsi="DM Sans" w:cs="DM Sans"/>
                <w:color w:val="1A1A1A"/>
                <w:sz w:val="19"/>
                <w:szCs w:val="19"/>
              </w:rPr>
              <w:t>3–6 months</w:t>
            </w:r>
          </w:p>
        </w:tc>
        <w:tc>
          <w:tcPr>
            <w:tcW w:w="1500" w:type="dxa"/>
            <w:shd w:val="clear" w:color="auto" w:fill="FFFFFF"/>
            <w:tcMar>
              <w:top w:w="100" w:type="dxa"/>
              <w:left w:w="140" w:type="dxa"/>
              <w:bottom w:w="100" w:type="dxa"/>
              <w:right w:w="140" w:type="dxa"/>
            </w:tcMar>
            <w:vAlign w:val="center"/>
          </w:tcPr>
          <w:p w14:paraId="71E46CD6" w14:textId="77777777" w:rsidR="004044AF" w:rsidRDefault="00000000">
            <w:r>
              <w:rPr>
                <w:rFonts w:ascii="DM Sans" w:eastAsia="DM Sans" w:hAnsi="DM Sans" w:cs="DM Sans"/>
                <w:b/>
                <w:bCs/>
                <w:color w:val="0C5C52"/>
                <w:sz w:val="19"/>
                <w:szCs w:val="19"/>
              </w:rPr>
              <w:t>33%</w:t>
            </w:r>
          </w:p>
        </w:tc>
        <w:tc>
          <w:tcPr>
            <w:tcW w:w="3400" w:type="dxa"/>
            <w:shd w:val="clear" w:color="auto" w:fill="FFFFFF"/>
            <w:tcMar>
              <w:top w:w="100" w:type="dxa"/>
              <w:left w:w="140" w:type="dxa"/>
              <w:bottom w:w="100" w:type="dxa"/>
              <w:right w:w="140" w:type="dxa"/>
            </w:tcMar>
            <w:vAlign w:val="center"/>
          </w:tcPr>
          <w:p w14:paraId="63304FE4" w14:textId="77777777" w:rsidR="004044AF" w:rsidRDefault="00000000">
            <w:r>
              <w:rPr>
                <w:rFonts w:ascii="DM Sans" w:eastAsia="DM Sans" w:hAnsi="DM Sans" w:cs="DM Sans"/>
                <w:color w:val="1A1A1A"/>
                <w:sz w:val="19"/>
                <w:szCs w:val="19"/>
              </w:rPr>
              <w:t>Monthly progress payments, invoiced against work in progress, recovering a further c. 45–50% of the estimated total fee across the file term.</w:t>
            </w:r>
          </w:p>
        </w:tc>
        <w:tc>
          <w:tcPr>
            <w:tcW w:w="2500" w:type="dxa"/>
            <w:shd w:val="clear" w:color="auto" w:fill="FFFFFF"/>
            <w:tcMar>
              <w:top w:w="100" w:type="dxa"/>
              <w:left w:w="140" w:type="dxa"/>
              <w:bottom w:w="100" w:type="dxa"/>
              <w:right w:w="140" w:type="dxa"/>
            </w:tcMar>
            <w:vAlign w:val="center"/>
          </w:tcPr>
          <w:p w14:paraId="4F75CB4C" w14:textId="77777777" w:rsidR="004044AF" w:rsidRDefault="00000000">
            <w:r>
              <w:rPr>
                <w:rFonts w:ascii="DM Sans" w:eastAsia="DM Sans" w:hAnsi="DM Sans" w:cs="DM Sans"/>
                <w:color w:val="1A1A1A"/>
                <w:sz w:val="19"/>
                <w:szCs w:val="19"/>
              </w:rPr>
              <w:t>Balance on completion, or agreed terms confirmed in writing.</w:t>
            </w:r>
          </w:p>
        </w:tc>
      </w:tr>
      <w:tr w:rsidR="004044AF" w14:paraId="3DECE0B1" w14:textId="77777777">
        <w:tblPrEx>
          <w:tblCellMar>
            <w:top w:w="0" w:type="dxa"/>
            <w:bottom w:w="0" w:type="dxa"/>
          </w:tblCellMar>
        </w:tblPrEx>
        <w:tc>
          <w:tcPr>
            <w:tcW w:w="2600" w:type="dxa"/>
            <w:shd w:val="clear" w:color="auto" w:fill="EEF5F4"/>
            <w:tcMar>
              <w:top w:w="100" w:type="dxa"/>
              <w:left w:w="140" w:type="dxa"/>
              <w:bottom w:w="100" w:type="dxa"/>
              <w:right w:w="140" w:type="dxa"/>
            </w:tcMar>
            <w:vAlign w:val="center"/>
          </w:tcPr>
          <w:p w14:paraId="5D80607D" w14:textId="77777777" w:rsidR="004044AF" w:rsidRDefault="00000000">
            <w:r>
              <w:rPr>
                <w:rFonts w:ascii="DM Sans" w:eastAsia="DM Sans" w:hAnsi="DM Sans" w:cs="DM Sans"/>
                <w:color w:val="1A1A1A"/>
                <w:sz w:val="19"/>
                <w:szCs w:val="19"/>
              </w:rPr>
              <w:t>6–12 months</w:t>
            </w:r>
          </w:p>
        </w:tc>
        <w:tc>
          <w:tcPr>
            <w:tcW w:w="1500" w:type="dxa"/>
            <w:shd w:val="clear" w:color="auto" w:fill="EEF5F4"/>
            <w:tcMar>
              <w:top w:w="100" w:type="dxa"/>
              <w:left w:w="140" w:type="dxa"/>
              <w:bottom w:w="100" w:type="dxa"/>
              <w:right w:w="140" w:type="dxa"/>
            </w:tcMar>
            <w:vAlign w:val="center"/>
          </w:tcPr>
          <w:p w14:paraId="21027F24" w14:textId="77777777" w:rsidR="004044AF" w:rsidRDefault="00000000">
            <w:r>
              <w:rPr>
                <w:rFonts w:ascii="DM Sans" w:eastAsia="DM Sans" w:hAnsi="DM Sans" w:cs="DM Sans"/>
                <w:b/>
                <w:bCs/>
                <w:color w:val="0C5C52"/>
                <w:sz w:val="19"/>
                <w:szCs w:val="19"/>
              </w:rPr>
              <w:t>33%</w:t>
            </w:r>
          </w:p>
        </w:tc>
        <w:tc>
          <w:tcPr>
            <w:tcW w:w="3400" w:type="dxa"/>
            <w:shd w:val="clear" w:color="auto" w:fill="EEF5F4"/>
            <w:tcMar>
              <w:top w:w="100" w:type="dxa"/>
              <w:left w:w="140" w:type="dxa"/>
              <w:bottom w:w="100" w:type="dxa"/>
              <w:right w:w="140" w:type="dxa"/>
            </w:tcMar>
            <w:vAlign w:val="center"/>
          </w:tcPr>
          <w:p w14:paraId="77D458D9" w14:textId="77777777" w:rsidR="004044AF" w:rsidRDefault="00000000">
            <w:r>
              <w:rPr>
                <w:rFonts w:ascii="DM Sans" w:eastAsia="DM Sans" w:hAnsi="DM Sans" w:cs="DM Sans"/>
                <w:color w:val="1A1A1A"/>
                <w:sz w:val="19"/>
                <w:szCs w:val="19"/>
              </w:rPr>
              <w:t>Monthly progress payments, reviewed at each billing cycle against actual work in progress and any revised estimate.</w:t>
            </w:r>
          </w:p>
        </w:tc>
        <w:tc>
          <w:tcPr>
            <w:tcW w:w="2500" w:type="dxa"/>
            <w:shd w:val="clear" w:color="auto" w:fill="EEF5F4"/>
            <w:tcMar>
              <w:top w:w="100" w:type="dxa"/>
              <w:left w:w="140" w:type="dxa"/>
              <w:bottom w:w="100" w:type="dxa"/>
              <w:right w:w="140" w:type="dxa"/>
            </w:tcMar>
            <w:vAlign w:val="center"/>
          </w:tcPr>
          <w:p w14:paraId="286175B1" w14:textId="77777777" w:rsidR="004044AF" w:rsidRDefault="00000000">
            <w:r>
              <w:rPr>
                <w:rFonts w:ascii="DM Sans" w:eastAsia="DM Sans" w:hAnsi="DM Sans" w:cs="DM Sans"/>
                <w:color w:val="1A1A1A"/>
                <w:sz w:val="19"/>
                <w:szCs w:val="19"/>
              </w:rPr>
              <w:t>Balance on completion, or a documented payment plan agreed before the file closes.</w:t>
            </w:r>
          </w:p>
        </w:tc>
      </w:tr>
      <w:tr w:rsidR="004044AF" w14:paraId="1F1141E5" w14:textId="77777777">
        <w:tblPrEx>
          <w:tblCellMar>
            <w:top w:w="0" w:type="dxa"/>
            <w:bottom w:w="0" w:type="dxa"/>
          </w:tblCellMar>
        </w:tblPrEx>
        <w:tc>
          <w:tcPr>
            <w:tcW w:w="2600" w:type="dxa"/>
            <w:shd w:val="clear" w:color="auto" w:fill="FFFFFF"/>
            <w:tcMar>
              <w:top w:w="100" w:type="dxa"/>
              <w:left w:w="140" w:type="dxa"/>
              <w:bottom w:w="100" w:type="dxa"/>
              <w:right w:w="140" w:type="dxa"/>
            </w:tcMar>
            <w:vAlign w:val="center"/>
          </w:tcPr>
          <w:p w14:paraId="4374B487" w14:textId="77777777" w:rsidR="004044AF" w:rsidRDefault="00000000">
            <w:r>
              <w:rPr>
                <w:rFonts w:ascii="DM Sans" w:eastAsia="DM Sans" w:hAnsi="DM Sans" w:cs="DM Sans"/>
                <w:color w:val="1A1A1A"/>
                <w:sz w:val="19"/>
                <w:szCs w:val="19"/>
              </w:rPr>
              <w:t>12+ months</w:t>
            </w:r>
          </w:p>
        </w:tc>
        <w:tc>
          <w:tcPr>
            <w:tcW w:w="1500" w:type="dxa"/>
            <w:shd w:val="clear" w:color="auto" w:fill="FFFFFF"/>
            <w:tcMar>
              <w:top w:w="100" w:type="dxa"/>
              <w:left w:w="140" w:type="dxa"/>
              <w:bottom w:w="100" w:type="dxa"/>
              <w:right w:w="140" w:type="dxa"/>
            </w:tcMar>
            <w:vAlign w:val="center"/>
          </w:tcPr>
          <w:p w14:paraId="6F3E6ACB" w14:textId="77777777" w:rsidR="004044AF" w:rsidRDefault="00000000">
            <w:r>
              <w:rPr>
                <w:rFonts w:ascii="DM Sans" w:eastAsia="DM Sans" w:hAnsi="DM Sans" w:cs="DM Sans"/>
                <w:b/>
                <w:bCs/>
                <w:color w:val="0C5C52"/>
                <w:sz w:val="19"/>
                <w:szCs w:val="19"/>
              </w:rPr>
              <w:t>33%</w:t>
            </w:r>
          </w:p>
        </w:tc>
        <w:tc>
          <w:tcPr>
            <w:tcW w:w="3400" w:type="dxa"/>
            <w:shd w:val="clear" w:color="auto" w:fill="FFFFFF"/>
            <w:tcMar>
              <w:top w:w="100" w:type="dxa"/>
              <w:left w:w="140" w:type="dxa"/>
              <w:bottom w:w="100" w:type="dxa"/>
              <w:right w:w="140" w:type="dxa"/>
            </w:tcMar>
            <w:vAlign w:val="center"/>
          </w:tcPr>
          <w:p w14:paraId="4893E016" w14:textId="77777777" w:rsidR="004044AF" w:rsidRDefault="00000000">
            <w:r>
              <w:rPr>
                <w:rFonts w:ascii="DM Sans" w:eastAsia="DM Sans" w:hAnsi="DM Sans" w:cs="DM Sans"/>
                <w:color w:val="1A1A1A"/>
                <w:sz w:val="19"/>
                <w:szCs w:val="19"/>
              </w:rPr>
              <w:t>Monthly progress payments, plus a formal fee and scope review at minimum every 6 months.</w:t>
            </w:r>
          </w:p>
        </w:tc>
        <w:tc>
          <w:tcPr>
            <w:tcW w:w="2500" w:type="dxa"/>
            <w:shd w:val="clear" w:color="auto" w:fill="FFFFFF"/>
            <w:tcMar>
              <w:top w:w="100" w:type="dxa"/>
              <w:left w:w="140" w:type="dxa"/>
              <w:bottom w:w="100" w:type="dxa"/>
              <w:right w:w="140" w:type="dxa"/>
            </w:tcMar>
            <w:vAlign w:val="center"/>
          </w:tcPr>
          <w:p w14:paraId="6C088CDF" w14:textId="77777777" w:rsidR="004044AF" w:rsidRDefault="00000000">
            <w:r>
              <w:rPr>
                <w:rFonts w:ascii="DM Sans" w:eastAsia="DM Sans" w:hAnsi="DM Sans" w:cs="DM Sans"/>
                <w:color w:val="1A1A1A"/>
                <w:sz w:val="19"/>
                <w:szCs w:val="19"/>
              </w:rPr>
              <w:t>Balance on completion, or terms confirmed in writing prior to the final invoice being raised.</w:t>
            </w:r>
          </w:p>
        </w:tc>
      </w:tr>
    </w:tbl>
    <w:p w14:paraId="7419C3D5" w14:textId="77777777" w:rsidR="004044AF" w:rsidRDefault="004044AF">
      <w:pPr>
        <w:spacing w:before="200"/>
      </w:pPr>
    </w:p>
    <w:p w14:paraId="1B7AB3D3" w14:textId="77777777" w:rsidR="004044AF" w:rsidRDefault="00000000">
      <w:pPr>
        <w:pBdr>
          <w:left w:val="single" w:sz="18" w:space="8" w:color="3A9E91"/>
        </w:pBdr>
        <w:shd w:val="clear" w:color="auto" w:fill="EEF5F4"/>
        <w:spacing w:before="100" w:after="200"/>
        <w:ind w:left="200"/>
      </w:pPr>
      <w:r>
        <w:rPr>
          <w:rFonts w:ascii="DM Sans" w:eastAsia="DM Sans" w:hAnsi="DM Sans" w:cs="DM Sans"/>
          <w:b/>
          <w:bCs/>
          <w:color w:val="0C5C52"/>
          <w:sz w:val="19"/>
          <w:szCs w:val="19"/>
        </w:rPr>
        <w:t xml:space="preserve">NOTE — </w:t>
      </w:r>
      <w:r>
        <w:rPr>
          <w:rFonts w:ascii="DM Sans" w:eastAsia="DM Sans" w:hAnsi="DM Sans" w:cs="DM Sans"/>
          <w:i/>
          <w:iCs/>
          <w:color w:val="5B6B6E"/>
          <w:sz w:val="19"/>
          <w:szCs w:val="19"/>
        </w:rPr>
        <w:t xml:space="preserve">Figures in the "periodic payments" column are starting points, not fixed rules — fee-earners should adjust the cadence and percentage split to fit the actual milestones of the matter (e.g. exchange, unconditional date, settlement), and record the agreed schedule in the costs agreement or a file note.</w:t>
      </w:r>
    </w:p>
    <w:p w14:paraId="4D515947" w14:textId="77777777" w:rsidR="004044AF" w:rsidRDefault="00000000">
      <w:pPr>
        <w:spacing w:before="260" w:after="120"/>
      </w:pPr>
      <w:r>
        <w:rPr>
          <w:rFonts w:ascii="Cormorant Garamond" w:eastAsia="Cormorant Garamond" w:hAnsi="Cormorant Garamond" w:cs="Cormorant Garamond"/>
          <w:b/>
          <w:bCs/>
          <w:color w:val="0C5C52"/>
          <w:sz w:val="22"/>
          <w:szCs w:val="22"/>
        </w:rPr>
        <w:t>3.3 Final Payment</w:t>
      </w:r>
    </w:p>
    <w:p w14:paraId="44DAD867" w14:textId="77777777" w:rsidR="004044AF" w:rsidRDefault="00000000">
      <w:pPr>
        <w:spacing w:after="160" w:line="300" w:lineRule="auto"/>
      </w:pPr>
      <w:r>
        <w:rPr>
          <w:rFonts w:ascii="DM Sans" w:eastAsia="DM Sans" w:hAnsi="DM Sans" w:cs="DM Sans"/>
          <w:color w:val="1A1A1A"/>
          <w:sz w:val="21"/>
          <w:szCs w:val="21"/>
        </w:rPr>
        <w:t>On completion of the matter, the client is required to pay the balance of fees in full, unless the fee-earner and the client have agreed alternative terms in writing before the file closes. Alternative terms may include:</w:t>
      </w:r>
    </w:p>
    <w:p w14:paraId="1AACB891" w14:textId="77777777" w:rsidR="004044AF" w:rsidRDefault="00000000">
      <w:pPr>
        <w:pStyle w:val="ListParagraph"/>
        <w:numPr>
          <w:ilvl w:val="0"/>
          <w:numId w:val="2"/>
        </w:numPr>
        <w:spacing w:after="90" w:line="290" w:lineRule="auto"/>
      </w:pPr>
      <w:r>
        <w:rPr>
          <w:rFonts w:ascii="DM Sans" w:eastAsia="DM Sans" w:hAnsi="DM Sans" w:cs="DM Sans"/>
          <w:color w:val="1A1A1A"/>
          <w:sz w:val="21"/>
          <w:szCs w:val="21"/>
        </w:rPr>
        <w:t>A defined instalment plan with a fixed number of payments and dates.</w:t>
      </w:r>
    </w:p>
    <w:p w14:paraId="6F3161A6" w14:textId="77777777" w:rsidR="004044AF" w:rsidRDefault="00000000">
      <w:pPr>
        <w:pStyle w:val="ListParagraph"/>
        <w:numPr>
          <w:ilvl w:val="0"/>
          <w:numId w:val="2"/>
        </w:numPr>
        <w:spacing w:after="90" w:line="290" w:lineRule="auto"/>
      </w:pPr>
      <w:r>
        <w:rPr>
          <w:rFonts w:ascii="DM Sans" w:eastAsia="DM Sans" w:hAnsi="DM Sans" w:cs="DM Sans"/>
          <w:color w:val="1A1A1A"/>
          <w:sz w:val="21"/>
          <w:szCs w:val="21"/>
        </w:rPr>
        <w:lastRenderedPageBreak/>
        <w:t>Security for a deferred balance where appropriate (e.g. undertaking, caveat, personal guarantee), approved by a principal.</w:t>
      </w:r>
    </w:p>
    <w:p w14:paraId="547C0860" w14:textId="77777777" w:rsidR="004044AF" w:rsidRDefault="00000000">
      <w:pPr>
        <w:pStyle w:val="ListParagraph"/>
        <w:numPr>
          <w:ilvl w:val="0"/>
          <w:numId w:val="2"/>
        </w:numPr>
        <w:spacing w:after="90" w:line="290" w:lineRule="auto"/>
      </w:pPr>
      <w:r>
        <w:rPr>
          <w:rFonts w:ascii="DM Sans" w:eastAsia="DM Sans" w:hAnsi="DM Sans" w:cs="DM Sans"/>
          <w:color w:val="1A1A1A"/>
          <w:sz w:val="21"/>
          <w:szCs w:val="21"/>
        </w:rPr>
        <w:t xml:space="preserve">An administration or financing charge on deferred balances, where disclosed in advance in the costs agreement.</w:t>
      </w:r>
    </w:p>
    <w:p w14:paraId="355A3A72" w14:textId="77777777" w:rsidR="004044AF" w:rsidRDefault="00000000">
      <w:pPr>
        <w:pBdr>
          <w:left w:val="single" w:sz="18" w:space="8" w:color="3A9E91"/>
        </w:pBdr>
        <w:shd w:val="clear" w:color="auto" w:fill="EEF5F4"/>
        <w:spacing w:before="100" w:after="200"/>
        <w:ind w:left="200"/>
      </w:pPr>
      <w:r>
        <w:rPr>
          <w:rFonts w:ascii="DM Sans" w:eastAsia="DM Sans" w:hAnsi="DM Sans" w:cs="DM Sans"/>
          <w:b/>
          <w:bCs/>
          <w:color w:val="0C5C52"/>
          <w:sz w:val="19"/>
          <w:szCs w:val="19"/>
        </w:rPr>
        <w:t xml:space="preserve">NOTE — </w:t>
      </w:r>
      <w:r>
        <w:rPr>
          <w:rFonts w:ascii="DM Sans" w:eastAsia="DM Sans" w:hAnsi="DM Sans" w:cs="DM Sans"/>
          <w:i/>
          <w:iCs/>
          <w:color w:val="5B6B6E"/>
          <w:sz w:val="19"/>
          <w:szCs w:val="19"/>
        </w:rPr>
        <w:t>A completed matter should not be closed on the file management system with an outstanding balance unless a written, principal-approved payment plan is on file.</w:t>
      </w:r>
    </w:p>
    <w:p w14:paraId="6180EC01" w:rsidR="004044AF" w:rsidRDefault="00000000">
      <w:pPr>
        <w:spacing w:before="260" w:after="120"/>
      </w:pPr>
      <w:r>
        <w:rPr>
          <w:rFonts w:ascii="Cormorant Garamond" w:eastAsia="Cormorant Garamond" w:hAnsi="Cormorant Garamond" w:cs="Cormorant Garamond"/>
          <w:b/>
          <w:bCs/>
          <w:color w:val="0C5C52"/>
          <w:sz w:val="22"/>
          <w:szCs w:val="22"/>
        </w:rPr>
        <w:t>3.4 Monitoring During the Matter</w:t>
      </w:r>
    </w:p>
    <w:p w14:paraId="6180EC02" w:rsidR="004044AF" w:rsidRDefault="00000000">
      <w:pPr>
        <w:spacing w:after="160" w:line="300" w:lineRule="auto"/>
      </w:pPr>
      <w:r>
        <w:rPr>
          <w:rFonts w:ascii="DM Sans" w:eastAsia="DM Sans" w:hAnsi="DM Sans" w:cs="DM Sans"/>
          <w:color w:val="1A1A1A"/>
          <w:sz w:val="21"/>
          <w:szCs w:val="21"/>
        </w:rPr>
        <w:t xml:space="preserve">Periodic payments are not "set and forget." At each billing cycle set out in Section 3.2, the fee-earner reviews work in progress against fees actually billed and paid to date, and makes a real-time call on whether work should continue:</w:t>
      </w:r>
    </w:p>
    <w:p w14:paraId="6180EC03" w:rsidR="004044AF" w:rsidRDefault="00000000">
      <w:pPr>
        <w:pStyle w:val="ListParagraph"/>
        <w:numPr>
          <w:ilvl w:val="0"/>
          <w:numId w:val="2"/>
        </w:numPr>
        <w:spacing w:after="90" w:line="290" w:lineRule="auto"/>
      </w:pPr>
      <w:r>
        <w:rPr>
          <w:rFonts w:ascii="DM Sans" w:eastAsia="DM Sans" w:hAnsi="DM Sans" w:cs="DM Sans"/>
          <w:color w:val="1A1A1A"/>
          <w:sz w:val="21"/>
          <w:szCs w:val="21"/>
        </w:rPr>
        <w:t>Continue as planned, where fees billed and paid are keeping pace with work in progress.</w:t>
      </w:r>
    </w:p>
    <w:p w14:paraId="6180EC04" w:rsidR="004044AF" w:rsidRDefault="00000000">
      <w:pPr>
        <w:pStyle w:val="ListParagraph"/>
        <w:numPr>
          <w:ilvl w:val="0"/>
          <w:numId w:val="2"/>
        </w:numPr>
        <w:spacing w:after="90" w:line="290" w:lineRule="auto"/>
      </w:pPr>
      <w:r>
        <w:rPr>
          <w:rFonts w:ascii="DM Sans" w:eastAsia="DM Sans" w:hAnsi="DM Sans" w:cs="DM Sans"/>
          <w:color w:val="1A1A1A"/>
          <w:sz w:val="21"/>
          <w:szCs w:val="21"/>
        </w:rPr>
        <w:t>Raise it with the client and tighten the schedule — for example bringing forward the next progress payment — where a gap is emerging.</w:t>
      </w:r>
    </w:p>
    <w:p w14:paraId="6180EC05" w:rsidR="004044AF" w:rsidRDefault="00000000">
      <w:pPr>
        <w:pStyle w:val="ListParagraph"/>
        <w:numPr>
          <w:ilvl w:val="0"/>
          <w:numId w:val="2"/>
        </w:numPr>
        <w:spacing w:after="90" w:line="290" w:lineRule="auto"/>
      </w:pPr>
      <w:r>
        <w:rPr>
          <w:rFonts w:ascii="DM Sans" w:eastAsia="DM Sans" w:hAnsi="DM Sans" w:cs="DM Sans"/>
          <w:color w:val="1A1A1A"/>
          <w:sz w:val="21"/>
          <w:szCs w:val="21"/>
        </w:rPr>
        <w:t>Escalate to a principal and consider pausing further work, where the gap is material or unresolved (see Section 5).</w:t>
      </w:r>
    </w:p>
    <w:p w14:paraId="6180EC06" w:rsidR="004044AF" w:rsidRDefault="00000000">
      <w:pPr>
        <w:pBdr>
          <w:left w:val="single" w:sz="18" w:space="8" w:color="3A9E91"/>
        </w:pBdr>
        <w:shd w:val="clear" w:color="auto" w:fill="EEF5F4"/>
        <w:spacing w:before="100" w:after="200"/>
        <w:ind w:left="200"/>
      </w:pPr>
      <w:r>
        <w:rPr>
          <w:rFonts w:ascii="DM Sans" w:eastAsia="DM Sans" w:hAnsi="DM Sans" w:cs="DM Sans"/>
          <w:b/>
          <w:bCs/>
          <w:color w:val="0C5C52"/>
          <w:sz w:val="19"/>
          <w:szCs w:val="19"/>
        </w:rPr>
        <w:t xml:space="preserve">NOTE — </w:t>
      </w:r>
      <w:r>
        <w:rPr>
          <w:rFonts w:ascii="DM Sans" w:eastAsia="DM Sans" w:hAnsi="DM Sans" w:cs="DM Sans"/>
          <w:i/>
          <w:iCs/>
          <w:color w:val="5B6B6E"/>
          <w:sz w:val="19"/>
          <w:szCs w:val="19"/>
        </w:rPr>
        <w:t>This monitoring runs alongside Section 5, not instead of it. Section 5 governs the response once a specific payment has actually been missed; this section is the ongoing check that catches drift before it gets that far.</w:t>
      </w:r>
    </w:p>
    <w:p w14:paraId="6180ECA5" w14:textId="77777777" w:rsidR="004044AF" w:rsidRDefault="00000000">
      <w:pPr>
        <w:pBdr>
          <w:bottom w:val="single" w:sz="12" w:space="4" w:color="0C5C52"/>
        </w:pBdr>
        <w:spacing w:before="400" w:after="200"/>
      </w:pPr>
      <w:r>
        <w:rPr>
          <w:rFonts w:ascii="Cormorant Garamond" w:eastAsia="Cormorant Garamond" w:hAnsi="Cormorant Garamond" w:cs="Cormorant Garamond"/>
          <w:b/>
          <w:bCs/>
          <w:color w:val="0D2B36"/>
          <w:sz w:val="26"/>
          <w:szCs w:val="26"/>
        </w:rPr>
        <w:t>4. ADMINISTRATION</w:t>
      </w:r>
    </w:p>
    <w:p w14:paraId="2A036FDA" w14:textId="77777777" w:rsidR="004044AF" w:rsidRDefault="00000000">
      <w:pPr>
        <w:spacing w:before="260" w:after="120"/>
      </w:pPr>
      <w:r>
        <w:rPr>
          <w:rFonts w:ascii="Cormorant Garamond" w:eastAsia="Cormorant Garamond" w:hAnsi="Cormorant Garamond" w:cs="Cormorant Garamond"/>
          <w:b/>
          <w:bCs/>
          <w:color w:val="0C5C52"/>
          <w:sz w:val="22"/>
          <w:szCs w:val="22"/>
        </w:rPr>
        <w:t>4.1 Invoicing</w:t>
      </w:r>
    </w:p>
    <w:p w14:paraId="60E6C5FA" w14:textId="77777777" w:rsidR="004044AF" w:rsidRDefault="00000000">
      <w:pPr>
        <w:pStyle w:val="ListParagraph"/>
        <w:numPr>
          <w:ilvl w:val="0"/>
          <w:numId w:val="2"/>
        </w:numPr>
        <w:spacing w:after="90" w:line="290" w:lineRule="auto"/>
      </w:pPr>
      <w:r>
        <w:rPr>
          <w:rFonts w:ascii="DM Sans" w:eastAsia="DM Sans" w:hAnsi="DM Sans" w:cs="DM Sans"/>
          <w:color w:val="1A1A1A"/>
          <w:sz w:val="21"/>
          <w:szCs w:val="21"/>
        </w:rPr>
        <w:t>The upfront payment is requested at the same time as the signed costs agreement is issued.</w:t>
      </w:r>
    </w:p>
    <w:p w14:paraId="1045E21D" w14:textId="77777777" w:rsidR="004044AF" w:rsidRDefault="00000000">
      <w:pPr>
        <w:pStyle w:val="ListParagraph"/>
        <w:numPr>
          <w:ilvl w:val="0"/>
          <w:numId w:val="2"/>
        </w:numPr>
        <w:spacing w:after="90" w:line="290" w:lineRule="auto"/>
      </w:pPr>
      <w:r>
        <w:rPr>
          <w:rFonts w:ascii="DM Sans" w:eastAsia="DM Sans" w:hAnsi="DM Sans" w:cs="DM Sans"/>
          <w:color w:val="1A1A1A"/>
          <w:sz w:val="21"/>
          <w:szCs w:val="21"/>
        </w:rPr>
        <w:t>Periodic invoices are raised on the cadence set out in Section 3.2, referencing work in progress to date.</w:t>
      </w:r>
    </w:p>
    <w:p w14:paraId="6400214A" w14:textId="77777777" w:rsidR="004044AF" w:rsidRDefault="00000000">
      <w:pPr>
        <w:pStyle w:val="ListParagraph"/>
        <w:numPr>
          <w:ilvl w:val="0"/>
          <w:numId w:val="2"/>
        </w:numPr>
        <w:spacing w:after="90" w:line="290" w:lineRule="auto"/>
      </w:pPr>
      <w:r>
        <w:rPr>
          <w:rFonts w:ascii="DM Sans" w:eastAsia="DM Sans" w:hAnsi="DM Sans" w:cs="DM Sans"/>
          <w:color w:val="1A1A1A"/>
          <w:sz w:val="21"/>
          <w:szCs w:val="21"/>
        </w:rPr>
        <w:t>The final invoice is raised on completion, or on execution of an agreed payment plan.</w:t>
      </w:r>
    </w:p>
    <w:p w14:paraId="7409FAE8" w14:textId="77777777" w:rsidR="004044AF" w:rsidRDefault="00000000">
      <w:pPr>
        <w:spacing w:before="260" w:after="120"/>
      </w:pPr>
      <w:r>
        <w:rPr>
          <w:rFonts w:ascii="Cormorant Garamond" w:eastAsia="Cormorant Garamond" w:hAnsi="Cormorant Garamond" w:cs="Cormorant Garamond"/>
          <w:b/>
          <w:bCs/>
          <w:color w:val="0C5C52"/>
          <w:sz w:val="22"/>
          <w:szCs w:val="22"/>
        </w:rPr>
        <w:t>4.2 Trust account handling</w:t>
      </w:r>
    </w:p>
    <w:p w14:paraId="3DEB8D1E" w14:textId="77777777" w:rsidR="004044AF" w:rsidRDefault="00000000">
      <w:pPr>
        <w:spacing w:after="160" w:line="300" w:lineRule="auto"/>
      </w:pPr>
      <w:r>
        <w:rPr>
          <w:rFonts w:ascii="DM Sans" w:eastAsia="DM Sans" w:hAnsi="DM Sans" w:cs="DM Sans"/>
          <w:color w:val="1A1A1A"/>
          <w:sz w:val="21"/>
          <w:szCs w:val="21"/>
        </w:rPr>
        <w:t>Upfront and periodic payments received in advance of costs being incurred are trust money and must be banked to the firm's trust account and dealt with in accordance with the Legal Profession Uniform Law trust account rules. Funds are only transferred to office account once a valid bill has been rendered and, where required, the relevant notice period has passed.</w:t>
      </w:r>
    </w:p>
    <w:p w14:paraId="109194E3" w14:textId="77777777" w:rsidR="004044AF" w:rsidRDefault="00000000">
      <w:pPr>
        <w:spacing w:before="260" w:after="120"/>
      </w:pPr>
      <w:r>
        <w:rPr>
          <w:rFonts w:ascii="Cormorant Garamond" w:eastAsia="Cormorant Garamond" w:hAnsi="Cormorant Garamond" w:cs="Cormorant Garamond"/>
          <w:b/>
          <w:bCs/>
          <w:color w:val="0C5C52"/>
          <w:sz w:val="22"/>
          <w:szCs w:val="22"/>
        </w:rPr>
        <w:t>4.3 Accepted payment methods</w:t>
      </w:r>
    </w:p>
    <w:p w14:paraId="3C098BE7" w14:textId="77777777" w:rsidR="004044AF" w:rsidRDefault="00000000">
      <w:pPr>
        <w:pStyle w:val="ListParagraph"/>
        <w:numPr>
          <w:ilvl w:val="0"/>
          <w:numId w:val="2"/>
        </w:numPr>
        <w:spacing w:after="90" w:line="290" w:lineRule="auto"/>
      </w:pPr>
      <w:r>
        <w:rPr>
          <w:rFonts w:ascii="DM Sans" w:eastAsia="DM Sans" w:hAnsi="DM Sans" w:cs="DM Sans"/>
          <w:color w:val="1A1A1A"/>
          <w:sz w:val="21"/>
          <w:szCs w:val="21"/>
        </w:rPr>
        <w:t>Electronic funds transfer (preferred).</w:t>
      </w:r>
    </w:p>
    <w:p w14:paraId="5548E2AD" w14:textId="77777777" w:rsidR="004044AF" w:rsidRDefault="00000000">
      <w:pPr>
        <w:pStyle w:val="ListParagraph"/>
        <w:numPr>
          <w:ilvl w:val="0"/>
          <w:numId w:val="2"/>
        </w:numPr>
        <w:spacing w:after="90" w:line="290" w:lineRule="auto"/>
      </w:pPr>
      <w:r>
        <w:rPr>
          <w:rFonts w:ascii="DM Sans" w:eastAsia="DM Sans" w:hAnsi="DM Sans" w:cs="DM Sans"/>
          <w:color w:val="1A1A1A"/>
          <w:sz w:val="21"/>
          <w:szCs w:val="21"/>
        </w:rPr>
        <w:t>Credit or debit card, where a merchant facility is available (surcharge may apply).</w:t>
      </w:r>
    </w:p>
    <w:p w14:paraId="682CE4CE" w14:textId="77777777" w:rsidR="004044AF" w:rsidRDefault="00000000">
      <w:pPr>
        <w:pStyle w:val="ListParagraph"/>
        <w:numPr>
          <w:ilvl w:val="0"/>
          <w:numId w:val="2"/>
        </w:numPr>
        <w:spacing w:after="90" w:line="290" w:lineRule="auto"/>
      </w:pPr>
      <w:r>
        <w:rPr>
          <w:rFonts w:ascii="DM Sans" w:eastAsia="DM Sans" w:hAnsi="DM Sans" w:cs="DM Sans"/>
          <w:color w:val="1A1A1A"/>
          <w:sz w:val="21"/>
          <w:szCs w:val="21"/>
        </w:rPr>
        <w:t>Trust-to-trust transfer from a related party (e.g. purchaser's mortgage funds) at or near settlement.</w:t>
      </w:r>
    </w:p>
    <w:p w14:paraId="1D52AA80" w14:textId="77777777" w:rsidR="004044AF" w:rsidRDefault="00000000">
      <w:pPr>
        <w:pBdr>
          <w:bottom w:val="single" w:sz="12" w:space="4" w:color="0C5C52"/>
        </w:pBdr>
        <w:spacing w:before="400" w:after="200"/>
      </w:pPr>
      <w:r>
        <w:rPr>
          <w:rFonts w:ascii="Cormorant Garamond" w:eastAsia="Cormorant Garamond" w:hAnsi="Cormorant Garamond" w:cs="Cormorant Garamond"/>
          <w:b/>
          <w:bCs/>
          <w:color w:val="0D2B36"/>
          <w:sz w:val="26"/>
          <w:szCs w:val="26"/>
        </w:rPr>
        <w:t>5. NON-PAYMENT OR LATE PAYMENT</w:t>
      </w:r>
    </w:p>
    <w:p w14:paraId="0763A70D" w14:textId="77777777" w:rsidR="004044AF" w:rsidRDefault="00000000">
      <w:pPr>
        <w:spacing w:after="160" w:line="300" w:lineRule="auto"/>
      </w:pPr>
      <w:r>
        <w:rPr>
          <w:rFonts w:ascii="DM Sans" w:eastAsia="DM Sans" w:hAnsi="DM Sans" w:cs="DM Sans"/>
          <w:color w:val="1A1A1A"/>
          <w:sz w:val="21"/>
          <w:szCs w:val="21"/>
        </w:rPr>
        <w:t>Where a client fails to make an upfront, periodic, or final payment in accordance with the agreed schedule, the fee-earner should:</w:t>
      </w:r>
    </w:p>
    <w:p w14:paraId="150C5A31" w14:textId="77777777" w:rsidR="004044AF" w:rsidRDefault="00000000">
      <w:pPr>
        <w:pStyle w:val="ListParagraph"/>
        <w:numPr>
          <w:ilvl w:val="0"/>
          <w:numId w:val="2"/>
        </w:numPr>
        <w:spacing w:after="90" w:line="290" w:lineRule="auto"/>
      </w:pPr>
      <w:r>
        <w:rPr>
          <w:rFonts w:ascii="DM Sans" w:eastAsia="DM Sans" w:hAnsi="DM Sans" w:cs="DM Sans"/>
          <w:color w:val="1A1A1A"/>
          <w:sz w:val="21"/>
          <w:szCs w:val="21"/>
        </w:rPr>
        <w:t>Follow up in writing within 5 business days of the missed payment date.</w:t>
      </w:r>
    </w:p>
    <w:p w14:paraId="15ECD3AF" w14:textId="77777777" w:rsidR="004044AF" w:rsidRDefault="00000000">
      <w:pPr>
        <w:pStyle w:val="ListParagraph"/>
        <w:numPr>
          <w:ilvl w:val="0"/>
          <w:numId w:val="2"/>
        </w:numPr>
        <w:spacing w:after="90" w:line="290" w:lineRule="auto"/>
      </w:pPr>
      <w:r>
        <w:rPr>
          <w:rFonts w:ascii="DM Sans" w:eastAsia="DM Sans" w:hAnsi="DM Sans" w:cs="DM Sans"/>
          <w:color w:val="1A1A1A"/>
          <w:sz w:val="21"/>
          <w:szCs w:val="21"/>
        </w:rPr>
        <w:t>Escalate to the supervising principal if payment is not received within a further 10 business days.</w:t>
      </w:r>
    </w:p>
    <w:p w14:paraId="398197CC" w14:textId="77777777" w:rsidR="004044AF" w:rsidRDefault="00000000">
      <w:pPr>
        <w:pStyle w:val="ListParagraph"/>
        <w:numPr>
          <w:ilvl w:val="0"/>
          <w:numId w:val="2"/>
        </w:numPr>
        <w:spacing w:after="90" w:line="290" w:lineRule="auto"/>
      </w:pPr>
      <w:r>
        <w:rPr>
          <w:rFonts w:ascii="DM Sans" w:eastAsia="DM Sans" w:hAnsi="DM Sans" w:cs="DM Sans"/>
          <w:color w:val="1A1A1A"/>
          <w:sz w:val="21"/>
          <w:szCs w:val="21"/>
        </w:rPr>
        <w:t>Consider, with principal approval, suspending further work on the matter until the account is brought up to date, subject to the firm's professional obligations to the client and the court or other parties.</w:t>
      </w:r>
    </w:p>
    <w:p w14:paraId="3BA941EE" w14:textId="77777777" w:rsidR="004044AF" w:rsidRDefault="00000000">
      <w:pPr>
        <w:pBdr>
          <w:bottom w:val="single" w:sz="12" w:space="4" w:color="0C5C52"/>
        </w:pBdr>
        <w:spacing w:before="400" w:after="200"/>
      </w:pPr>
      <w:r>
        <w:rPr>
          <w:rFonts w:ascii="Cormorant Garamond" w:eastAsia="Cormorant Garamond" w:hAnsi="Cormorant Garamond" w:cs="Cormorant Garamond"/>
          <w:b/>
          <w:bCs/>
          <w:color w:val="0D2B36"/>
          <w:sz w:val="26"/>
          <w:szCs w:val="26"/>
        </w:rPr>
        <w:t>6. PUSHBACK, RISK &amp; PRINCIPAL DISCRETION</w:t>
      </w:r>
    </w:p>
    <w:p w14:paraId="6753100A" w:rsidR="004044AF" w:rsidRDefault="00000000">
      <w:pPr>
        <w:spacing w:before="260" w:after="120"/>
      </w:pPr>
      <w:r>
        <w:rPr>
          <w:rFonts w:ascii="Cormorant Garamond" w:eastAsia="Cormorant Garamond" w:hAnsi="Cormorant Garamond" w:cs="Cormorant Garamond"/>
          <w:b/>
          <w:bCs/>
          <w:color w:val="0C5C52"/>
          <w:sz w:val="22"/>
          <w:szCs w:val="22"/>
        </w:rPr>
        <w:t>6.1 Client Pushback as a Risk Signal</w:t>
      </w:r>
    </w:p>
    <w:p w14:paraId="6753100B" w:rsidR="004044AF" w:rsidRDefault="00000000">
      <w:pPr>
        <w:pBdr>
          <w:left w:val="single" w:sz="24" w:space="10" w:color="0D2B36"/>
        </w:pBdr>
        <w:spacing w:before="80" w:after="200"/>
        <w:ind w:left="220"/>
      </w:pPr>
      <w:r>
        <w:rPr>
          <w:rFonts w:ascii="Cormorant Garamond" w:eastAsia="Cormorant Garamond" w:hAnsi="Cormorant Garamond" w:cs="Cormorant Garamond"/>
          <w:i/>
          <w:iCs/>
          <w:color w:val="0D2B36"/>
          <w:sz w:val="23"/>
          <w:szCs w:val="23"/>
        </w:rPr>
        <w:t>Every matter Sheridan Legal declines to price properly is a matter it's choosing to subsidise later — or write off as wasted time, energy, resources and money.</w:t>
      </w:r>
    </w:p>
    <w:p w14:paraId="6753101A" w:rsidR="004044AF" w:rsidRDefault="00000000">
      <w:pPr>
        <w:spacing w:after="160" w:line="300" w:lineRule="auto"/>
      </w:pPr>
      <w:r>
        <w:rPr>
          <w:rFonts w:ascii="DM Sans" w:eastAsia="DM Sans" w:hAnsi="DM Sans" w:cs="DM Sans"/>
          <w:color w:val="1A1A1A"/>
          <w:sz w:val="21"/>
          <w:szCs w:val="21"/>
        </w:rPr>
        <w:t xml:space="preserve">If a prospective client negotiates hard against the disclosed upfront payment or periodic schedule before the costs agreement is signed, this is treated as a credit risk signal, not simply a negotiating point to concede. Before the retainer is accepted, the fee-earner must:</w:t>
      </w:r>
    </w:p>
    <w:p w14:paraId="6753102A" w:rsidR="004044AF" w:rsidRDefault="00000000">
      <w:pPr>
        <w:pStyle w:val="ListParagraph"/>
        <w:numPr>
          <w:ilvl w:val="0"/>
          <w:numId w:val="2"/>
        </w:numPr>
        <w:spacing w:after="90" w:line="290" w:lineRule="auto"/>
      </w:pPr>
      <w:r>
        <w:rPr>
          <w:rFonts w:ascii="DM Sans" w:eastAsia="DM Sans" w:hAnsi="DM Sans" w:cs="DM Sans"/>
          <w:color w:val="1A1A1A"/>
          <w:sz w:val="21"/>
          <w:szCs w:val="21"/>
        </w:rPr>
        <w:t>Record the pushback in a file note — what terms were resisted, and the reason given.</w:t>
      </w:r>
    </w:p>
    <w:p w14:paraId="6753103A" w:rsidR="004044AF" w:rsidRDefault="00000000">
      <w:pPr>
        <w:pStyle w:val="ListParagraph"/>
        <w:numPr>
          <w:ilvl w:val="0"/>
          <w:numId w:val="2"/>
        </w:numPr>
        <w:spacing w:after="90" w:line="290" w:lineRule="auto"/>
      </w:pPr>
      <w:r>
        <w:rPr>
          <w:rFonts w:ascii="DM Sans" w:eastAsia="DM Sans" w:hAnsi="DM Sans" w:cs="DM Sans"/>
          <w:color w:val="1A1A1A"/>
          <w:sz w:val="21"/>
          <w:szCs w:val="21"/>
        </w:rPr>
        <w:t>Assess whether it reflects a one-off circumstance or a genuine risk of non-payment.</w:t>
      </w:r>
    </w:p>
    <w:p w14:paraId="6753104A" w:rsidR="004044AF" w:rsidRDefault="00000000">
      <w:pPr>
        <w:pStyle w:val="ListParagraph"/>
        <w:numPr>
          <w:ilvl w:val="0"/>
          <w:numId w:val="2"/>
        </w:numPr>
        <w:spacing w:after="90" w:line="290" w:lineRule="auto"/>
      </w:pPr>
      <w:r>
        <w:rPr>
          <w:rFonts w:ascii="DM Sans" w:eastAsia="DM Sans" w:hAnsi="DM Sans" w:cs="DM Sans"/>
          <w:color w:val="1A1A1A"/>
          <w:sz w:val="21"/>
          <w:szCs w:val="21"/>
        </w:rPr>
        <w:t xml:space="preserve">Decide on one of three outcomes, based on that assessment:</w:t>
      </w:r>
    </w:p>
    <w:p w14:paraId="6753105A" w:rsidR="004044AF" w:rsidRDefault="00000000">
      <w:pPr>
        <w:pStyle w:val="ListParagraph"/>
        <w:numPr>
          <w:ilvl w:val="1"/>
          <w:numId w:val="2"/>
        </w:numPr>
        <w:spacing w:after="90" w:line="290" w:lineRule="auto"/>
      </w:pPr>
      <w:r>
        <w:rPr>
          <w:rFonts w:ascii="DM Sans" w:eastAsia="DM Sans" w:hAnsi="DM Sans" w:cs="DM Sans"/>
          <w:color w:val="1A1A1A"/>
          <w:sz w:val="21"/>
          <w:szCs w:val="21"/>
        </w:rPr>
        <w:t>Proceed on the original disclosed terms.</w:t>
      </w:r>
    </w:p>
    <w:p w14:paraId="6753106A" w:rsidR="004044AF" w:rsidRDefault="00000000">
      <w:pPr>
        <w:pStyle w:val="ListParagraph"/>
        <w:numPr>
          <w:ilvl w:val="1"/>
          <w:numId w:val="2"/>
        </w:numPr>
        <w:spacing w:after="90" w:line="290" w:lineRule="auto"/>
      </w:pPr>
      <w:r>
        <w:rPr>
          <w:rFonts w:ascii="DM Sans" w:eastAsia="DM Sans" w:hAnsi="DM Sans" w:cs="DM Sans"/>
          <w:color w:val="1A1A1A"/>
          <w:sz w:val="21"/>
          <w:szCs w:val="21"/>
        </w:rPr>
        <w:t>Ask for more protection before accepting the matter — a higher upfront percentage, a tighter periodic cadence, or security under Section 3.3.</w:t>
      </w:r>
    </w:p>
    <w:p w14:paraId="6753107A" w:rsidR="004044AF" w:rsidRDefault="00000000">
      <w:pPr>
        <w:pStyle w:val="ListParagraph"/>
        <w:numPr>
          <w:ilvl w:val="1"/>
          <w:numId w:val="2"/>
        </w:numPr>
        <w:spacing w:after="90" w:line="290" w:lineRule="auto"/>
      </w:pPr>
      <w:r>
        <w:rPr>
          <w:rFonts w:ascii="DM Sans" w:eastAsia="DM Sans" w:hAnsi="DM Sans" w:cs="DM Sans"/>
          <w:color w:val="1A1A1A"/>
          <w:sz w:val="21"/>
          <w:szCs w:val="21"/>
        </w:rPr>
        <w:t>Decline the matter.</w:t>
      </w:r>
    </w:p>
    <w:p w14:paraId="6753108A" w:rsidR="004044AF" w:rsidRDefault="00000000">
      <w:pPr>
        <w:pBdr>
          <w:left w:val="single" w:sz="18" w:space="8" w:color="3A9E91"/>
        </w:pBdr>
        <w:shd w:val="clear" w:color="auto" w:fill="EEF5F4"/>
        <w:spacing w:before="100" w:after="200"/>
        <w:ind w:left="200"/>
      </w:pPr>
      <w:r>
        <w:rPr>
          <w:rFonts w:ascii="DM Sans" w:eastAsia="DM Sans" w:hAnsi="DM Sans" w:cs="DM Sans"/>
          <w:b/>
          <w:bCs/>
          <w:color w:val="0C5C52"/>
          <w:sz w:val="19"/>
          <w:szCs w:val="19"/>
        </w:rPr>
        <w:t xml:space="preserve">NOTE — </w:t>
      </w:r>
      <w:r>
        <w:rPr>
          <w:rFonts w:ascii="DM Sans" w:eastAsia="DM Sans" w:hAnsi="DM Sans" w:cs="DM Sans"/>
          <w:i/>
          <w:iCs/>
          <w:color w:val="5B6B6E"/>
          <w:sz w:val="19"/>
          <w:szCs w:val="19"/>
        </w:rPr>
        <w:t>A fee-earner who is not a principal must speak to a principal before offering softer terms or declining a prospective matter on this basis. This keeps the risk call — and the reasoning behind it — visible beyond the individual fee-earner.</w:t>
      </w:r>
    </w:p>
    <w:p w14:paraId="6753109A" w:rsidR="004044AF" w:rsidRDefault="00000000">
      <w:pPr>
        <w:spacing w:before="260" w:after="120"/>
      </w:pPr>
      <w:r>
        <w:rPr>
          <w:rFonts w:ascii="Cormorant Garamond" w:eastAsia="Cormorant Garamond" w:hAnsi="Cormorant Garamond" w:cs="Cormorant Garamond"/>
          <w:b/>
          <w:bCs/>
          <w:color w:val="0C5C52"/>
          <w:sz w:val="22"/>
          <w:szCs w:val="22"/>
        </w:rPr>
        <w:t>6.2 Principal-Approved Exceptions</w:t>
      </w:r>
    </w:p>
    <w:p w14:paraId="6753129D" w14:textId="77777777" w:rsidR="004044AF" w:rsidRDefault="00000000">
      <w:pPr>
        <w:spacing w:after="160" w:line="300" w:lineRule="auto"/>
      </w:pPr>
      <w:r>
        <w:rPr>
          <w:rFonts w:ascii="DM Sans" w:eastAsia="DM Sans" w:hAnsi="DM Sans" w:cs="DM Sans"/>
          <w:color w:val="1A1A1A"/>
          <w:sz w:val="21"/>
          <w:szCs w:val="21"/>
        </w:rPr>
        <w:t xml:space="preserve">A principal may approve a departure from this policy for a specific matter — for example a lower upfront percentage for a long-standing client, or a different </w:t>
        <w:lastRenderedPageBreak/>
        <w:t xml:space="preserve">periodic schedule for an unusually structured matter. Any exception must be recorded in writing on the file before the costs agreement is issued.</w:t>
      </w:r>
    </w:p>
    <w:p w14:paraId="78FDF1FD" w14:textId="77777777" w:rsidR="004044AF" w:rsidRDefault="00000000">
      <w:pPr>
        <w:pBdr>
          <w:bottom w:val="single" w:sz="12" w:space="4" w:color="0C5C52"/>
        </w:pBdr>
        <w:spacing w:before="400" w:after="200"/>
      </w:pPr>
      <w:r>
        <w:rPr>
          <w:rFonts w:ascii="Cormorant Garamond" w:eastAsia="Cormorant Garamond" w:hAnsi="Cormorant Garamond" w:cs="Cormorant Garamond"/>
          <w:b/>
          <w:bCs/>
          <w:color w:val="0D2B36"/>
          <w:sz w:val="26"/>
          <w:szCs w:val="26"/>
        </w:rPr>
        <w:t>7. POLICY REVIEW</w:t>
      </w:r>
    </w:p>
    <w:p w14:paraId="413978C3" w14:textId="77777777" w:rsidR="004044AF" w:rsidRDefault="00000000">
      <w:pPr>
        <w:spacing w:after="160" w:line="300" w:lineRule="auto"/>
      </w:pPr>
      <w:r>
        <w:rPr>
          <w:rFonts w:ascii="DM Sans" w:eastAsia="DM Sans" w:hAnsi="DM Sans" w:cs="DM Sans"/>
          <w:color w:val="1A1A1A"/>
          <w:sz w:val="21"/>
          <w:szCs w:val="21"/>
        </w:rPr>
        <w:t>This policy is reviewed at least annually, and whenever the firm's write-off or debtor-days data (see the FY26-27 performance dashboard) indicates the current bands are not adequately protecting cash flow or work in progress.</w:t>
      </w:r>
    </w:p>
    <w:p w14:paraId="54DAA270" w14:textId="77777777" w:rsidR="004044AF" w:rsidRDefault="00000000">
      <w:pPr>
        <w:pBdr>
          <w:left w:val="single" w:sz="18" w:space="8" w:color="3A9E91"/>
        </w:pBdr>
        <w:shd w:val="clear" w:color="auto" w:fill="EEF5F4"/>
        <w:spacing w:before="100" w:after="200"/>
        <w:ind w:left="200"/>
      </w:pPr>
      <w:r>
        <w:rPr>
          <w:rFonts w:ascii="DM Sans" w:eastAsia="DM Sans" w:hAnsi="DM Sans" w:cs="DM Sans"/>
          <w:b/>
          <w:bCs/>
          <w:color w:val="0C5C52"/>
          <w:sz w:val="19"/>
          <w:szCs w:val="19"/>
        </w:rPr>
        <w:t xml:space="preserve">NOTE — </w:t>
      </w:r>
      <w:r>
        <w:rPr>
          <w:rFonts w:ascii="DM Sans" w:eastAsia="DM Sans" w:hAnsi="DM Sans" w:cs="DM Sans"/>
          <w:i/>
          <w:iCs/>
          <w:color w:val="5B6B6E"/>
          <w:sz w:val="19"/>
          <w:szCs w:val="19"/>
        </w:rPr>
        <w:t>Draft v1.0 — percentages, timeframes, and escalation windows are starting positions for Patrick and Micheline to confirm before this is adopted as firm policy.</w:t>
      </w:r>
    </w:p>
    <w:sectPr w:rsidR="004044AF">
      <w:headerReference w:type="default" r:id="rId7"/>
      <w:footerReference w:type="default" r:id="rId8"/>
      <w:pgSz w:w="11906" w:h="16838"/>
      <w:pgMar w:top="900" w:right="1100" w:bottom="9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9714C" w14:textId="77777777" w:rsidR="00D53324" w:rsidRDefault="00D53324">
      <w:r>
        <w:separator/>
      </w:r>
    </w:p>
  </w:endnote>
  <w:endnote w:type="continuationSeparator" w:id="0">
    <w:p w14:paraId="15290C89" w14:textId="77777777" w:rsidR="00D53324" w:rsidRDefault="00D533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morant Garamond">
    <w:altName w:val="Cambria"/>
    <w:panose1 w:val="020B0604020202020204"/>
    <w:charset w:val="00"/>
    <w:family w:val="roman"/>
    <w:notTrueType/>
    <w:pitch w:val="default"/>
  </w:font>
  <w:font w:name="DM Sans">
    <w:panose1 w:val="00000000000000000000"/>
    <w:charset w:val="4D"/>
    <w:family w:val="auto"/>
    <w:pitch w:val="variable"/>
    <w:sig w:usb0="8000002F" w:usb1="5000205B" w:usb2="00000000" w:usb3="00000000" w:csb0="00000093"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F3573" w14:textId="77777777" w:rsidR="004044AF" w:rsidRDefault="00000000">
    <w:pPr>
      <w:tabs>
        <w:tab w:val="right" w:pos="9026"/>
      </w:tabs>
    </w:pPr>
    <w:r>
      <w:rPr>
        <w:rFonts w:ascii="DM Sans" w:eastAsia="DM Sans" w:hAnsi="DM Sans" w:cs="DM Sans"/>
        <w:color w:val="5B6B6E"/>
        <w:sz w:val="15"/>
        <w:szCs w:val="15"/>
      </w:rPr>
      <w:t xml:space="preserve">Internal policy — not for client </w:t>
    </w:r>
    <w:proofErr w:type="spellStart"/>
    <w:r>
      <w:rPr>
        <w:rFonts w:ascii="DM Sans" w:eastAsia="DM Sans" w:hAnsi="DM Sans" w:cs="DM Sans"/>
        <w:color w:val="5B6B6E"/>
        <w:sz w:val="15"/>
        <w:szCs w:val="15"/>
      </w:rPr>
      <w:t>distributionPage</w:t>
    </w:r>
    <w:proofErr w:type="spellEnd"/>
    <w:r>
      <w:rPr>
        <w:rFonts w:ascii="DM Sans" w:eastAsia="DM Sans" w:hAnsi="DM Sans" w:cs="DM Sans"/>
        <w:color w:val="5B6B6E"/>
        <w:sz w:val="15"/>
        <w:szCs w:val="15"/>
      </w:rPr>
      <w:t xml:space="preserve"> </w:t>
    </w:r>
    <w:r>
      <w:rPr>
        <w:rFonts w:ascii="DM Sans" w:eastAsia="DM Sans" w:hAnsi="DM Sans" w:cs="DM Sans"/>
        <w:color w:val="5B6B6E"/>
        <w:sz w:val="15"/>
        <w:szCs w:val="15"/>
      </w:rPr>
      <w:fldChar w:fldCharType="begin"/>
    </w:r>
    <w:r>
      <w:rPr>
        <w:rFonts w:ascii="DM Sans" w:eastAsia="DM Sans" w:hAnsi="DM Sans" w:cs="DM Sans"/>
        <w:color w:val="5B6B6E"/>
        <w:sz w:val="15"/>
        <w:szCs w:val="15"/>
      </w:rPr>
      <w:instrText>PAGE</w:instrText>
    </w:r>
    <w:r>
      <w:rPr>
        <w:rFonts w:ascii="DM Sans" w:eastAsia="DM Sans" w:hAnsi="DM Sans" w:cs="DM Sans"/>
        <w:color w:val="5B6B6E"/>
        <w:sz w:val="15"/>
        <w:szCs w:val="15"/>
      </w:rPr>
      <w:fldChar w:fldCharType="separate"/>
    </w:r>
    <w:r w:rsidR="007C21A8">
      <w:rPr>
        <w:rFonts w:ascii="DM Sans" w:eastAsia="DM Sans" w:hAnsi="DM Sans" w:cs="DM Sans"/>
        <w:noProof/>
        <w:color w:val="5B6B6E"/>
        <w:sz w:val="15"/>
        <w:szCs w:val="15"/>
      </w:rPr>
      <w:t>1</w:t>
    </w:r>
    <w:r>
      <w:rPr>
        <w:rFonts w:ascii="DM Sans" w:eastAsia="DM Sans" w:hAnsi="DM Sans" w:cs="DM Sans"/>
        <w:color w:val="5B6B6E"/>
        <w:sz w:val="15"/>
        <w:szCs w:val="15"/>
      </w:rPr>
      <w:fldChar w:fldCharType="end"/>
    </w:r>
    <w:r>
      <w:rPr>
        <w:rFonts w:ascii="DM Sans" w:eastAsia="DM Sans" w:hAnsi="DM Sans" w:cs="DM Sans"/>
        <w:color w:val="5B6B6E"/>
        <w:sz w:val="15"/>
        <w:szCs w:val="15"/>
      </w:rPr>
      <w:t xml:space="preserve"> of </w:t>
    </w:r>
    <w:r>
      <w:rPr>
        <w:rFonts w:ascii="DM Sans" w:eastAsia="DM Sans" w:hAnsi="DM Sans" w:cs="DM Sans"/>
        <w:color w:val="5B6B6E"/>
        <w:sz w:val="15"/>
        <w:szCs w:val="15"/>
      </w:rPr>
      <w:fldChar w:fldCharType="begin"/>
    </w:r>
    <w:r>
      <w:rPr>
        <w:rFonts w:ascii="DM Sans" w:eastAsia="DM Sans" w:hAnsi="DM Sans" w:cs="DM Sans"/>
        <w:color w:val="5B6B6E"/>
        <w:sz w:val="15"/>
        <w:szCs w:val="15"/>
      </w:rPr>
      <w:instrText>NUMPAGES</w:instrText>
    </w:r>
    <w:r>
      <w:rPr>
        <w:rFonts w:ascii="DM Sans" w:eastAsia="DM Sans" w:hAnsi="DM Sans" w:cs="DM Sans"/>
        <w:color w:val="5B6B6E"/>
        <w:sz w:val="15"/>
        <w:szCs w:val="15"/>
      </w:rPr>
      <w:fldChar w:fldCharType="separate"/>
    </w:r>
    <w:r w:rsidR="007C21A8">
      <w:rPr>
        <w:rFonts w:ascii="DM Sans" w:eastAsia="DM Sans" w:hAnsi="DM Sans" w:cs="DM Sans"/>
        <w:noProof/>
        <w:color w:val="5B6B6E"/>
        <w:sz w:val="15"/>
        <w:szCs w:val="15"/>
      </w:rPr>
      <w:t>2</w:t>
    </w:r>
    <w:r>
      <w:rPr>
        <w:rFonts w:ascii="DM Sans" w:eastAsia="DM Sans" w:hAnsi="DM Sans" w:cs="DM Sans"/>
        <w:color w:val="5B6B6E"/>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F7AF1" w14:textId="77777777" w:rsidR="00D53324" w:rsidRDefault="00D53324">
      <w:r>
        <w:separator/>
      </w:r>
    </w:p>
  </w:footnote>
  <w:footnote w:type="continuationSeparator" w:id="0">
    <w:p w14:paraId="40216056" w14:textId="77777777" w:rsidR="00D53324" w:rsidRDefault="00D533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63788" w14:textId="77777777" w:rsidR="004044AF" w:rsidRDefault="00000000">
    <w:pPr>
      <w:pBdr>
        <w:bottom w:val="single" w:sz="6" w:space="6" w:color="0C5C52"/>
      </w:pBdr>
      <w:tabs>
        <w:tab w:val="right" w:pos="9026"/>
      </w:tabs>
    </w:pPr>
    <w:r>
      <w:rPr>
        <w:rFonts w:ascii="DM Sans" w:eastAsia="DM Sans" w:hAnsi="DM Sans" w:cs="DM Sans"/>
        <w:b/>
        <w:bCs/>
        <w:color w:val="0D2B36"/>
        <w:sz w:val="16"/>
        <w:szCs w:val="16"/>
      </w:rPr>
      <w:t>SHERIDAN LEGAL</w:t>
    </w:r>
    <w:r>
      <w:rPr>
        <w:rFonts w:ascii="DM Sans" w:eastAsia="DM Sans" w:hAnsi="DM Sans" w:cs="DM Sans"/>
        <w:color w:val="5B6B6E"/>
        <w:sz w:val="16"/>
        <w:szCs w:val="16"/>
      </w:rPr>
      <w:tab/>
      <w:t>Fee Payment Pricing Policy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40127D"/>
    <w:multiLevelType w:val="hybridMultilevel"/>
    <w:tmpl w:val="E21CD97E"/>
    <w:lvl w:ilvl="0" w:tplc="695C4530">
      <w:start w:val="1"/>
      <w:numFmt w:val="bullet"/>
      <w:lvlText w:val="—"/>
      <w:lvlJc w:val="left"/>
      <w:pPr>
        <w:ind w:left="400" w:hanging="260"/>
      </w:pPr>
    </w:lvl>
    <w:lvl w:ilvl="1" w:tplc="A8044398">
      <w:start w:val="1"/>
      <w:numFmt w:val="bullet"/>
      <w:lvlText w:val="•"/>
      <w:lvlJc w:val="left"/>
      <w:pPr>
        <w:ind w:left="760" w:hanging="260"/>
      </w:pPr>
    </w:lvl>
    <w:lvl w:ilvl="2" w:tplc="AF246A0E">
      <w:numFmt w:val="decimal"/>
      <w:lvlText w:val=""/>
      <w:lvlJc w:val="left"/>
    </w:lvl>
    <w:lvl w:ilvl="3" w:tplc="2CE471C8">
      <w:numFmt w:val="decimal"/>
      <w:lvlText w:val=""/>
      <w:lvlJc w:val="left"/>
    </w:lvl>
    <w:lvl w:ilvl="4" w:tplc="78085382">
      <w:numFmt w:val="decimal"/>
      <w:lvlText w:val=""/>
      <w:lvlJc w:val="left"/>
    </w:lvl>
    <w:lvl w:ilvl="5" w:tplc="17DA8320">
      <w:numFmt w:val="decimal"/>
      <w:lvlText w:val=""/>
      <w:lvlJc w:val="left"/>
    </w:lvl>
    <w:lvl w:ilvl="6" w:tplc="D8222B2C">
      <w:numFmt w:val="decimal"/>
      <w:lvlText w:val=""/>
      <w:lvlJc w:val="left"/>
    </w:lvl>
    <w:lvl w:ilvl="7" w:tplc="AA006832">
      <w:numFmt w:val="decimal"/>
      <w:lvlText w:val=""/>
      <w:lvlJc w:val="left"/>
    </w:lvl>
    <w:lvl w:ilvl="8" w:tplc="B63CCCDE">
      <w:numFmt w:val="decimal"/>
      <w:lvlText w:val=""/>
      <w:lvlJc w:val="left"/>
    </w:lvl>
  </w:abstractNum>
  <w:abstractNum w:abstractNumId="1" w15:restartNumberingAfterBreak="0">
    <w:nsid w:val="4A8B75A1"/>
    <w:multiLevelType w:val="hybridMultilevel"/>
    <w:tmpl w:val="CB5C0120"/>
    <w:lvl w:ilvl="0" w:tplc="6CB4B378">
      <w:start w:val="1"/>
      <w:numFmt w:val="bullet"/>
      <w:lvlText w:val="●"/>
      <w:lvlJc w:val="left"/>
      <w:pPr>
        <w:ind w:left="720" w:hanging="360"/>
      </w:pPr>
    </w:lvl>
    <w:lvl w:ilvl="1" w:tplc="B09A7C70">
      <w:start w:val="1"/>
      <w:numFmt w:val="bullet"/>
      <w:lvlText w:val="○"/>
      <w:lvlJc w:val="left"/>
      <w:pPr>
        <w:ind w:left="1440" w:hanging="360"/>
      </w:pPr>
    </w:lvl>
    <w:lvl w:ilvl="2" w:tplc="347605BE">
      <w:start w:val="1"/>
      <w:numFmt w:val="bullet"/>
      <w:lvlText w:val="■"/>
      <w:lvlJc w:val="left"/>
      <w:pPr>
        <w:ind w:left="2160" w:hanging="360"/>
      </w:pPr>
    </w:lvl>
    <w:lvl w:ilvl="3" w:tplc="A94A2874">
      <w:start w:val="1"/>
      <w:numFmt w:val="bullet"/>
      <w:lvlText w:val="●"/>
      <w:lvlJc w:val="left"/>
      <w:pPr>
        <w:ind w:left="2880" w:hanging="360"/>
      </w:pPr>
    </w:lvl>
    <w:lvl w:ilvl="4" w:tplc="2DF0AEB0">
      <w:start w:val="1"/>
      <w:numFmt w:val="bullet"/>
      <w:lvlText w:val="○"/>
      <w:lvlJc w:val="left"/>
      <w:pPr>
        <w:ind w:left="3600" w:hanging="360"/>
      </w:pPr>
    </w:lvl>
    <w:lvl w:ilvl="5" w:tplc="11CAEF36">
      <w:start w:val="1"/>
      <w:numFmt w:val="bullet"/>
      <w:lvlText w:val="■"/>
      <w:lvlJc w:val="left"/>
      <w:pPr>
        <w:ind w:left="4320" w:hanging="360"/>
      </w:pPr>
    </w:lvl>
    <w:lvl w:ilvl="6" w:tplc="6A68AF46">
      <w:start w:val="1"/>
      <w:numFmt w:val="bullet"/>
      <w:lvlText w:val="●"/>
      <w:lvlJc w:val="left"/>
      <w:pPr>
        <w:ind w:left="5040" w:hanging="360"/>
      </w:pPr>
    </w:lvl>
    <w:lvl w:ilvl="7" w:tplc="A34ABEF0">
      <w:start w:val="1"/>
      <w:numFmt w:val="bullet"/>
      <w:lvlText w:val="●"/>
      <w:lvlJc w:val="left"/>
      <w:pPr>
        <w:ind w:left="5760" w:hanging="360"/>
      </w:pPr>
    </w:lvl>
    <w:lvl w:ilvl="8" w:tplc="B3569CC0">
      <w:start w:val="1"/>
      <w:numFmt w:val="bullet"/>
      <w:lvlText w:val="●"/>
      <w:lvlJc w:val="left"/>
      <w:pPr>
        <w:ind w:left="6480" w:hanging="360"/>
      </w:pPr>
    </w:lvl>
  </w:abstractNum>
  <w:num w:numId="1" w16cid:durableId="1517621415">
    <w:abstractNumId w:val="1"/>
    <w:lvlOverride w:ilvl="0">
      <w:startOverride w:val="1"/>
    </w:lvlOverride>
  </w:num>
  <w:num w:numId="2" w16cid:durableId="641860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44AF"/>
    <w:rsid w:val="004044AF"/>
    <w:rsid w:val="007C21A8"/>
    <w:rsid w:val="00D53324"/>
    <w:rsid w:val="00D83AE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3E0146B0"/>
  <w15:docId w15:val="{74DCA6CC-BE44-E84B-897E-2FFC4D07D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1109</Words>
  <Characters>6327</Characters>
  <Application>Microsoft Office Word</Application>
  <DocSecurity>0</DocSecurity>
  <Lines>52</Lines>
  <Paragraphs>14</Paragraphs>
  <ScaleCrop>false</ScaleCrop>
  <Company/>
  <LinksUpToDate>false</LinksUpToDate>
  <CharactersWithSpaces>7422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Roy West | Explore Whitsundays</cp:lastModifiedBy>
  <cp:revision>2</cp:revision>
  <dcterms:created xsi:type="dcterms:W3CDTF">2026-07-28T22:38:00Z</dcterms:created>
  <dcterms:modified xsi:type="dcterms:W3CDTF">2026-07-28T22:41:00Z</dcterms:modified>
</cp:coreProperties>
</file>