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0ABE" w14:textId="0405F14D" w:rsidR="00386D30" w:rsidRPr="00E312C3" w:rsidRDefault="00000000" w:rsidP="00E312C3">
      <w:pPr>
        <w:jc w:val="center"/>
        <w:rPr>
          <w:sz w:val="8"/>
          <w:szCs w:val="8"/>
          <w:u w:val="single"/>
        </w:rPr>
      </w:pPr>
      <w:r w:rsidRPr="00E312C3">
        <w:rPr>
          <w:b/>
          <w:color w:val="001F3F"/>
          <w:sz w:val="28"/>
          <w:szCs w:val="8"/>
          <w:u w:val="single"/>
        </w:rPr>
        <w:t>REGRESSION &amp; TIME SERIES ANALYSIS</w:t>
      </w:r>
      <w:r w:rsidR="00E312C3" w:rsidRPr="00E312C3">
        <w:rPr>
          <w:b/>
          <w:color w:val="001F3F"/>
          <w:sz w:val="28"/>
          <w:szCs w:val="8"/>
          <w:u w:val="single"/>
        </w:rPr>
        <w:t xml:space="preserve"> PROJECT REPORT</w:t>
      </w:r>
    </w:p>
    <w:p w14:paraId="07ED6CA7" w14:textId="760006BA" w:rsidR="00157E5F" w:rsidRPr="00157E5F" w:rsidRDefault="00000000" w:rsidP="00157E5F">
      <w:pPr>
        <w:jc w:val="center"/>
        <w:rPr>
          <w:b/>
          <w:bCs/>
          <w:i/>
          <w:color w:val="808080" w:themeColor="background1" w:themeShade="80"/>
          <w:sz w:val="24"/>
          <w:szCs w:val="16"/>
        </w:rPr>
      </w:pPr>
      <w:r w:rsidRPr="00157E5F">
        <w:rPr>
          <w:b/>
          <w:bCs/>
          <w:i/>
          <w:color w:val="808080" w:themeColor="background1" w:themeShade="80"/>
          <w:sz w:val="24"/>
          <w:szCs w:val="16"/>
        </w:rPr>
        <w:t xml:space="preserve">Comprehensive </w:t>
      </w:r>
      <w:r w:rsidR="00157E5F" w:rsidRPr="00157E5F">
        <w:rPr>
          <w:b/>
          <w:bCs/>
          <w:i/>
          <w:color w:val="808080" w:themeColor="background1" w:themeShade="80"/>
          <w:sz w:val="24"/>
          <w:szCs w:val="16"/>
        </w:rPr>
        <w:t>Sales &amp; Profit Performance Analysis &amp;</w:t>
      </w:r>
      <w:r w:rsidR="00157E5F">
        <w:rPr>
          <w:b/>
          <w:bCs/>
          <w:i/>
          <w:color w:val="808080" w:themeColor="background1" w:themeShade="80"/>
          <w:sz w:val="24"/>
          <w:szCs w:val="16"/>
        </w:rPr>
        <w:t xml:space="preserve"> </w:t>
      </w:r>
      <w:r w:rsidR="00157E5F" w:rsidRPr="00157E5F">
        <w:rPr>
          <w:b/>
          <w:bCs/>
          <w:i/>
          <w:color w:val="808080" w:themeColor="background1" w:themeShade="80"/>
          <w:sz w:val="24"/>
          <w:szCs w:val="16"/>
        </w:rPr>
        <w:t>Forecasting Study</w:t>
      </w:r>
    </w:p>
    <w:p w14:paraId="348ED51A" w14:textId="2C9564E2" w:rsidR="00E312C3" w:rsidRDefault="00E312C3" w:rsidP="00E312C3"/>
    <w:p w14:paraId="7C1F36C9" w14:textId="77777777" w:rsidR="00386D30" w:rsidRDefault="00000000">
      <w:pPr>
        <w:pStyle w:val="Heading1"/>
      </w:pPr>
      <w:r>
        <w:t>EXECUTIVE SUMMARY</w:t>
      </w:r>
    </w:p>
    <w:p w14:paraId="5485A971" w14:textId="77777777" w:rsidR="00386D30" w:rsidRDefault="00000000">
      <w:pPr>
        <w:spacing w:line="360" w:lineRule="auto"/>
      </w:pPr>
      <w:r>
        <w:t>This comprehensive report presents an in-depth analysis of sales and profit data spanning from 2016 to 2021. The analysis employs advanced statistical techniques including regression analysis, time series decomposition, and ARIMA forecasting to extract meaningful insights from a dataset containing 68,427 transactional records across multiple product categories and sub-categories.</w:t>
      </w:r>
    </w:p>
    <w:p w14:paraId="2D31366D" w14:textId="77777777" w:rsidR="00E312C3" w:rsidRDefault="00000000">
      <w:r>
        <w:t>Key findings</w:t>
      </w:r>
      <w:r w:rsidR="00E312C3">
        <w:t>:</w:t>
      </w:r>
    </w:p>
    <w:p w14:paraId="2CFCFC77" w14:textId="77777777" w:rsidR="00E312C3" w:rsidRDefault="00E312C3" w:rsidP="00E312C3">
      <w:pPr>
        <w:pStyle w:val="ListParagraph"/>
        <w:numPr>
          <w:ilvl w:val="0"/>
          <w:numId w:val="10"/>
        </w:numPr>
      </w:pPr>
      <w:r>
        <w:t>R</w:t>
      </w:r>
      <w:r w:rsidR="00000000">
        <w:t xml:space="preserve">eveal significant trends in product performance, with certain sub-categories demonstrating strong growth trajectories while others show seasonal patterns. </w:t>
      </w:r>
    </w:p>
    <w:p w14:paraId="26C22799" w14:textId="652A90AC" w:rsidR="00386D30" w:rsidRDefault="00000000" w:rsidP="00E312C3">
      <w:pPr>
        <w:pStyle w:val="ListParagraph"/>
        <w:numPr>
          <w:ilvl w:val="0"/>
          <w:numId w:val="10"/>
        </w:numPr>
      </w:pPr>
      <w:r>
        <w:t>The regression analysis identifies the top-performing product categories and quantifies their growth rates, providing valuable insights for business decision-making and resource allocation.</w:t>
      </w:r>
    </w:p>
    <w:p w14:paraId="1B568755" w14:textId="77777777" w:rsidR="00E312C3" w:rsidRDefault="00E312C3"/>
    <w:p w14:paraId="0175E05E" w14:textId="006E1CE1" w:rsidR="00386D30" w:rsidRDefault="00000000">
      <w:r>
        <w:t>The time series analysis uncovers critical seasonal patterns and long-term trends, essential for understanding business cycles. Finally, the ARIMA forecasting model enables prediction of future sales with quantified uncertainty bounds, facilitating strategic planning and inventory management.</w:t>
      </w:r>
    </w:p>
    <w:p w14:paraId="4D2E3CBD" w14:textId="77777777" w:rsidR="00E312C3" w:rsidRDefault="00E312C3">
      <w:pPr>
        <w:pStyle w:val="Heading2"/>
        <w:rPr>
          <w:color w:val="2C3E50"/>
        </w:rPr>
      </w:pPr>
    </w:p>
    <w:p w14:paraId="222D2A13" w14:textId="61928612" w:rsidR="00386D30" w:rsidRDefault="00000000">
      <w:pPr>
        <w:pStyle w:val="Heading2"/>
      </w:pPr>
      <w:r>
        <w:rPr>
          <w:color w:val="2C3E50"/>
        </w:rPr>
        <w:t>Report Structure</w:t>
      </w:r>
    </w:p>
    <w:p w14:paraId="15447787" w14:textId="77777777" w:rsidR="00E312C3" w:rsidRDefault="00000000">
      <w:r>
        <w:t>This report is organized into the following sections:</w:t>
      </w:r>
    </w:p>
    <w:p w14:paraId="5ABB3BC5" w14:textId="77777777" w:rsidR="00E312C3" w:rsidRDefault="00000000" w:rsidP="00E312C3">
      <w:pPr>
        <w:pStyle w:val="ListParagraph"/>
        <w:numPr>
          <w:ilvl w:val="0"/>
          <w:numId w:val="11"/>
        </w:numPr>
      </w:pPr>
      <w:r>
        <w:t>Data Overview</w:t>
      </w:r>
    </w:p>
    <w:p w14:paraId="28780203" w14:textId="77777777" w:rsidR="00E312C3" w:rsidRDefault="00000000" w:rsidP="00E312C3">
      <w:pPr>
        <w:pStyle w:val="ListParagraph"/>
        <w:numPr>
          <w:ilvl w:val="0"/>
          <w:numId w:val="11"/>
        </w:numPr>
      </w:pPr>
      <w:r>
        <w:t>Regression Analysis</w:t>
      </w:r>
    </w:p>
    <w:p w14:paraId="37E5CC8E" w14:textId="77777777" w:rsidR="00E312C3" w:rsidRDefault="00000000" w:rsidP="00E312C3">
      <w:pPr>
        <w:pStyle w:val="ListParagraph"/>
        <w:numPr>
          <w:ilvl w:val="0"/>
          <w:numId w:val="11"/>
        </w:numPr>
      </w:pPr>
      <w:r>
        <w:t>Time Series Findings</w:t>
      </w:r>
    </w:p>
    <w:p w14:paraId="291755D8" w14:textId="77777777" w:rsidR="00E312C3" w:rsidRDefault="00000000" w:rsidP="00E312C3">
      <w:pPr>
        <w:pStyle w:val="ListParagraph"/>
        <w:numPr>
          <w:ilvl w:val="0"/>
          <w:numId w:val="11"/>
        </w:numPr>
      </w:pPr>
      <w:r>
        <w:t>ARIMA Forecasting Results</w:t>
      </w:r>
    </w:p>
    <w:p w14:paraId="6BA072B1" w14:textId="77777777" w:rsidR="00E312C3" w:rsidRDefault="00000000" w:rsidP="00E312C3">
      <w:pPr>
        <w:pStyle w:val="ListParagraph"/>
        <w:numPr>
          <w:ilvl w:val="0"/>
          <w:numId w:val="11"/>
        </w:numPr>
      </w:pPr>
      <w:r>
        <w:t>Conclusions</w:t>
      </w:r>
    </w:p>
    <w:p w14:paraId="3F83812E" w14:textId="77777777" w:rsidR="00E312C3" w:rsidRDefault="00000000" w:rsidP="00E312C3">
      <w:pPr>
        <w:pStyle w:val="ListParagraph"/>
        <w:numPr>
          <w:ilvl w:val="0"/>
          <w:numId w:val="11"/>
        </w:numPr>
      </w:pPr>
      <w:r>
        <w:t xml:space="preserve">AI Disclosure. </w:t>
      </w:r>
    </w:p>
    <w:p w14:paraId="131360FE" w14:textId="77777777" w:rsidR="00E312C3" w:rsidRDefault="00E312C3"/>
    <w:p w14:paraId="39B3F006" w14:textId="32FF9C13" w:rsidR="00386D30" w:rsidRDefault="00000000">
      <w:r>
        <w:t>Each section presents findings with supporting tabulated results for comprehensive understanding.</w:t>
      </w:r>
    </w:p>
    <w:p w14:paraId="470BE258" w14:textId="77777777" w:rsidR="00386D30" w:rsidRDefault="00000000">
      <w:r>
        <w:lastRenderedPageBreak/>
        <w:br w:type="page"/>
      </w:r>
    </w:p>
    <w:p w14:paraId="2DF72921" w14:textId="77777777" w:rsidR="00386D30" w:rsidRDefault="00000000">
      <w:pPr>
        <w:pStyle w:val="Heading1"/>
      </w:pPr>
      <w:r>
        <w:t>1. INTRODUCTION &amp; DATASET OVERVIEW</w:t>
      </w:r>
    </w:p>
    <w:p w14:paraId="7DF1A4AF" w14:textId="77777777" w:rsidR="00386D30" w:rsidRDefault="00000000">
      <w:pPr>
        <w:pStyle w:val="Heading2"/>
      </w:pPr>
      <w:r>
        <w:rPr>
          <w:color w:val="2C3E50"/>
        </w:rPr>
        <w:t>1.1 Project Objectives</w:t>
      </w:r>
    </w:p>
    <w:p w14:paraId="3A47DBA4" w14:textId="77777777" w:rsidR="00386D30" w:rsidRDefault="00000000">
      <w:r>
        <w:t>The primary objective of this analysis is to understand sales patterns, identify growth drivers, and develop predictive models for future sales forecasting. Through regression analysis, we quantify relationships between product categories and financial performance. Time series analysis reveals cyclical patterns and trends, while ARIMA models provide statistical forecasts for strategic planning.</w:t>
      </w:r>
    </w:p>
    <w:p w14:paraId="0D3569A7" w14:textId="77777777" w:rsidR="00E312C3" w:rsidRDefault="00E312C3">
      <w:pPr>
        <w:pStyle w:val="Heading2"/>
        <w:rPr>
          <w:color w:val="2C3E50"/>
        </w:rPr>
      </w:pPr>
    </w:p>
    <w:p w14:paraId="34BDACCA" w14:textId="77777777" w:rsidR="00E312C3" w:rsidRDefault="00E312C3">
      <w:pPr>
        <w:pStyle w:val="Heading2"/>
        <w:rPr>
          <w:color w:val="2C3E50"/>
        </w:rPr>
      </w:pPr>
    </w:p>
    <w:p w14:paraId="71C1E509" w14:textId="5522D7CD" w:rsidR="00386D30" w:rsidRDefault="00000000">
      <w:pPr>
        <w:pStyle w:val="Heading2"/>
      </w:pPr>
      <w:r>
        <w:rPr>
          <w:color w:val="2C3E50"/>
        </w:rPr>
        <w:t>1.2 Dataset Characteristics</w:t>
      </w:r>
    </w:p>
    <w:p w14:paraId="367C8EE5" w14:textId="77777777" w:rsidR="00386D30" w:rsidRDefault="00000000">
      <w:r>
        <w:t>The dataset comprises 68,427 transaction records with 22 variables including Order Date, Product Category, Sub-Category, Sales, Profit, Discount, Quantity, and Customer Information. The data covers a six-year period (2016-2021), providing sufficient temporal coverage for trend and seasonal analysis.</w:t>
      </w:r>
    </w:p>
    <w:p w14:paraId="6382AE26" w14:textId="77777777" w:rsidR="00386D30" w:rsidRDefault="00000000">
      <w:pPr>
        <w:pStyle w:val="ListBullet"/>
      </w:pPr>
      <w:r>
        <w:rPr>
          <w:b/>
        </w:rPr>
        <w:t>Table 1.1: Dataset Summary Statistics</w:t>
      </w:r>
    </w:p>
    <w:tbl>
      <w:tblPr>
        <w:tblStyle w:val="LightGrid-Accent1"/>
        <w:tblW w:w="0" w:type="auto"/>
        <w:tblLook w:val="04A0" w:firstRow="1" w:lastRow="0" w:firstColumn="1" w:lastColumn="0" w:noHBand="0" w:noVBand="1"/>
      </w:tblPr>
      <w:tblGrid>
        <w:gridCol w:w="4320"/>
        <w:gridCol w:w="4320"/>
      </w:tblGrid>
      <w:tr w:rsidR="00386D30" w14:paraId="29024DA9" w14:textId="77777777" w:rsidTr="0038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001F3F"/>
          </w:tcPr>
          <w:p w14:paraId="275FC22C" w14:textId="77777777" w:rsidR="00386D30" w:rsidRDefault="00000000">
            <w:r>
              <w:rPr>
                <w:color w:val="FFFFFF"/>
              </w:rPr>
              <w:t>Metric</w:t>
            </w:r>
          </w:p>
        </w:tc>
        <w:tc>
          <w:tcPr>
            <w:tcW w:w="4320" w:type="dxa"/>
            <w:shd w:val="clear" w:color="auto" w:fill="001F3F"/>
          </w:tcPr>
          <w:p w14:paraId="1FA8C7B6"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r>
      <w:tr w:rsidR="00386D30" w14:paraId="21293B1B"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A1D3E" w14:textId="77777777" w:rsidR="00386D30" w:rsidRDefault="00000000">
            <w:r>
              <w:t>Total Records</w:t>
            </w:r>
          </w:p>
        </w:tc>
        <w:tc>
          <w:tcPr>
            <w:tcW w:w="4320" w:type="dxa"/>
          </w:tcPr>
          <w:p w14:paraId="79F0ACFC" w14:textId="77777777" w:rsidR="00386D30" w:rsidRDefault="00000000">
            <w:pPr>
              <w:cnfStyle w:val="000000100000" w:firstRow="0" w:lastRow="0" w:firstColumn="0" w:lastColumn="0" w:oddVBand="0" w:evenVBand="0" w:oddHBand="1" w:evenHBand="0" w:firstRowFirstColumn="0" w:firstRowLastColumn="0" w:lastRowFirstColumn="0" w:lastRowLastColumn="0"/>
            </w:pPr>
            <w:r>
              <w:t>68,427</w:t>
            </w:r>
          </w:p>
        </w:tc>
      </w:tr>
      <w:tr w:rsidR="00386D30" w14:paraId="62D477AB"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CD4284" w14:textId="77777777" w:rsidR="00386D30" w:rsidRDefault="00000000">
            <w:r>
              <w:t>Date Range</w:t>
            </w:r>
          </w:p>
        </w:tc>
        <w:tc>
          <w:tcPr>
            <w:tcW w:w="4320" w:type="dxa"/>
          </w:tcPr>
          <w:p w14:paraId="6E7D9545" w14:textId="77777777" w:rsidR="00386D30" w:rsidRDefault="00000000">
            <w:pPr>
              <w:cnfStyle w:val="000000010000" w:firstRow="0" w:lastRow="0" w:firstColumn="0" w:lastColumn="0" w:oddVBand="0" w:evenVBand="0" w:oddHBand="0" w:evenHBand="1" w:firstRowFirstColumn="0" w:firstRowLastColumn="0" w:lastRowFirstColumn="0" w:lastRowLastColumn="0"/>
            </w:pPr>
            <w:r>
              <w:t>January 2016 - December 2021</w:t>
            </w:r>
          </w:p>
        </w:tc>
      </w:tr>
      <w:tr w:rsidR="00386D30" w14:paraId="730C6537"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FC1DA" w14:textId="77777777" w:rsidR="00386D30" w:rsidRDefault="00000000">
            <w:r>
              <w:t>Product Categories</w:t>
            </w:r>
          </w:p>
        </w:tc>
        <w:tc>
          <w:tcPr>
            <w:tcW w:w="4320" w:type="dxa"/>
          </w:tcPr>
          <w:p w14:paraId="6DBC7CCB" w14:textId="77777777" w:rsidR="00386D30" w:rsidRDefault="00000000">
            <w:pPr>
              <w:cnfStyle w:val="000000100000" w:firstRow="0" w:lastRow="0" w:firstColumn="0" w:lastColumn="0" w:oddVBand="0" w:evenVBand="0" w:oddHBand="1" w:evenHBand="0" w:firstRowFirstColumn="0" w:firstRowLastColumn="0" w:lastRowFirstColumn="0" w:lastRowLastColumn="0"/>
            </w:pPr>
            <w:r>
              <w:t>3 (Technology, Furniture, Office Supplies)</w:t>
            </w:r>
          </w:p>
        </w:tc>
      </w:tr>
      <w:tr w:rsidR="00386D30" w14:paraId="4A2D626A"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93D75B" w14:textId="77777777" w:rsidR="00386D30" w:rsidRDefault="00000000">
            <w:r>
              <w:t>Sub-Categories</w:t>
            </w:r>
          </w:p>
        </w:tc>
        <w:tc>
          <w:tcPr>
            <w:tcW w:w="4320" w:type="dxa"/>
          </w:tcPr>
          <w:p w14:paraId="6BB998F2" w14:textId="77777777" w:rsidR="00386D30" w:rsidRDefault="00000000">
            <w:pPr>
              <w:cnfStyle w:val="000000010000" w:firstRow="0" w:lastRow="0" w:firstColumn="0" w:lastColumn="0" w:oddVBand="0" w:evenVBand="0" w:oddHBand="0" w:evenHBand="1" w:firstRowFirstColumn="0" w:firstRowLastColumn="0" w:lastRowFirstColumn="0" w:lastRowLastColumn="0"/>
            </w:pPr>
            <w:r>
              <w:t>17</w:t>
            </w:r>
          </w:p>
        </w:tc>
      </w:tr>
      <w:tr w:rsidR="00386D30" w14:paraId="1B82A2A4"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2568EE" w14:textId="77777777" w:rsidR="00386D30" w:rsidRDefault="00000000">
            <w:r>
              <w:t>Data Fields</w:t>
            </w:r>
          </w:p>
        </w:tc>
        <w:tc>
          <w:tcPr>
            <w:tcW w:w="4320" w:type="dxa"/>
          </w:tcPr>
          <w:p w14:paraId="183745EF" w14:textId="77777777" w:rsidR="00386D30" w:rsidRDefault="00000000">
            <w:pPr>
              <w:cnfStyle w:val="000000100000" w:firstRow="0" w:lastRow="0" w:firstColumn="0" w:lastColumn="0" w:oddVBand="0" w:evenVBand="0" w:oddHBand="1" w:evenHBand="0" w:firstRowFirstColumn="0" w:firstRowLastColumn="0" w:lastRowFirstColumn="0" w:lastRowLastColumn="0"/>
            </w:pPr>
            <w:r>
              <w:t>22</w:t>
            </w:r>
          </w:p>
        </w:tc>
      </w:tr>
      <w:tr w:rsidR="00386D30" w14:paraId="59E51245"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A6259F" w14:textId="77777777" w:rsidR="00386D30" w:rsidRDefault="00000000">
            <w:r>
              <w:t>Missing Values</w:t>
            </w:r>
          </w:p>
        </w:tc>
        <w:tc>
          <w:tcPr>
            <w:tcW w:w="4320" w:type="dxa"/>
          </w:tcPr>
          <w:p w14:paraId="69FE3FDE" w14:textId="77777777" w:rsidR="00386D30" w:rsidRDefault="00000000">
            <w:pPr>
              <w:cnfStyle w:val="000000010000" w:firstRow="0" w:lastRow="0" w:firstColumn="0" w:lastColumn="0" w:oddVBand="0" w:evenVBand="0" w:oddHBand="0" w:evenHBand="1" w:firstRowFirstColumn="0" w:firstRowLastColumn="0" w:lastRowFirstColumn="0" w:lastRowLastColumn="0"/>
            </w:pPr>
            <w:r>
              <w:t>Minimal</w:t>
            </w:r>
          </w:p>
        </w:tc>
      </w:tr>
    </w:tbl>
    <w:p w14:paraId="2278CB74" w14:textId="77777777" w:rsidR="00E312C3" w:rsidRDefault="00E312C3">
      <w:pPr>
        <w:pStyle w:val="Heading2"/>
        <w:rPr>
          <w:color w:val="2C3E50"/>
        </w:rPr>
      </w:pPr>
    </w:p>
    <w:p w14:paraId="2389D92C" w14:textId="77777777" w:rsidR="00E312C3" w:rsidRDefault="00E312C3">
      <w:pPr>
        <w:pStyle w:val="Heading2"/>
        <w:rPr>
          <w:color w:val="2C3E50"/>
        </w:rPr>
      </w:pPr>
    </w:p>
    <w:p w14:paraId="43FACD1D" w14:textId="0F21ECE5" w:rsidR="00386D30" w:rsidRDefault="00000000">
      <w:pPr>
        <w:pStyle w:val="Heading2"/>
      </w:pPr>
      <w:r>
        <w:rPr>
          <w:color w:val="2C3E50"/>
        </w:rPr>
        <w:t>1.3 Data Preprocessing Steps</w:t>
      </w:r>
    </w:p>
    <w:p w14:paraId="079BA888" w14:textId="77777777" w:rsidR="00386D30" w:rsidRDefault="00000000">
      <w:r>
        <w:t xml:space="preserve">The data underwent systematic preprocessing including date conversion to temporal format, extraction of temporal features (Year, </w:t>
      </w:r>
      <w:proofErr w:type="spellStart"/>
      <w:r>
        <w:t>YearMonth</w:t>
      </w:r>
      <w:proofErr w:type="spellEnd"/>
      <w:r>
        <w:t>), categorical identification, and validation for completeness. Outliers were examined in context of business operations, and no records were removed to preserve data integrity for authentic pattern analysis.</w:t>
      </w:r>
    </w:p>
    <w:p w14:paraId="799D1875" w14:textId="77777777" w:rsidR="00386D30" w:rsidRDefault="00000000">
      <w:r>
        <w:br w:type="page"/>
      </w:r>
    </w:p>
    <w:p w14:paraId="1AC04368" w14:textId="77777777" w:rsidR="00386D30" w:rsidRDefault="00000000">
      <w:pPr>
        <w:pStyle w:val="Heading1"/>
      </w:pPr>
      <w:r>
        <w:t>2. REGRESSION ANALYSIS FINDINGS</w:t>
      </w:r>
    </w:p>
    <w:p w14:paraId="5CE6ACD8" w14:textId="77777777" w:rsidR="00386D30" w:rsidRDefault="00000000">
      <w:pPr>
        <w:pStyle w:val="Heading2"/>
      </w:pPr>
      <w:r>
        <w:rPr>
          <w:color w:val="2C3E50"/>
        </w:rPr>
        <w:t>2.1 Methodology</w:t>
      </w:r>
    </w:p>
    <w:p w14:paraId="1881BFED" w14:textId="77777777" w:rsidR="00386D30" w:rsidRDefault="00000000">
      <w:r>
        <w:t>Linear regression analysis was conducted on the four highest-performing sub-categories to quantify their monthly sales trends. For each sub-category, monthly aggregated sales data was fitted to a linear model of the form: Sales = β₀ + β₁×Month + ε, where β₀ represents the baseline sales level and β₁ (slope) indicates the monthly growth rate.</w:t>
      </w:r>
    </w:p>
    <w:p w14:paraId="6DC52A59" w14:textId="77777777" w:rsidR="00E312C3" w:rsidRDefault="00E312C3">
      <w:pPr>
        <w:pStyle w:val="Heading2"/>
        <w:rPr>
          <w:color w:val="2C3E50"/>
        </w:rPr>
      </w:pPr>
    </w:p>
    <w:p w14:paraId="44AC9853" w14:textId="3FF68ECB" w:rsidR="00386D30" w:rsidRDefault="00000000">
      <w:pPr>
        <w:pStyle w:val="Heading2"/>
      </w:pPr>
      <w:r>
        <w:rPr>
          <w:color w:val="2C3E50"/>
        </w:rPr>
        <w:t>2.2 Regression Results by Sub-Category</w:t>
      </w:r>
    </w:p>
    <w:p w14:paraId="2C5C8EF5" w14:textId="77777777" w:rsidR="00386D30" w:rsidRDefault="00000000">
      <w:r>
        <w:t>The following table presents regression coefficients and model performance metrics (R² values) for the four leading sub-categories:</w:t>
      </w:r>
    </w:p>
    <w:p w14:paraId="75E50892" w14:textId="77777777" w:rsidR="00386D30" w:rsidRDefault="00000000">
      <w:pPr>
        <w:pStyle w:val="ListBullet"/>
      </w:pPr>
      <w:r>
        <w:rPr>
          <w:b/>
        </w:rPr>
        <w:t>Table 2.1: Regression Analysis Summary - Top 4 Sub-Categories</w:t>
      </w:r>
    </w:p>
    <w:tbl>
      <w:tblPr>
        <w:tblStyle w:val="LightGrid-Accent1"/>
        <w:tblW w:w="0" w:type="auto"/>
        <w:tblLook w:val="04A0" w:firstRow="1" w:lastRow="0" w:firstColumn="1" w:lastColumn="0" w:noHBand="0" w:noVBand="1"/>
      </w:tblPr>
      <w:tblGrid>
        <w:gridCol w:w="1728"/>
        <w:gridCol w:w="1728"/>
        <w:gridCol w:w="1728"/>
        <w:gridCol w:w="1728"/>
        <w:gridCol w:w="1728"/>
      </w:tblGrid>
      <w:tr w:rsidR="00386D30" w14:paraId="00CA13E2" w14:textId="77777777" w:rsidTr="0038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001F3F"/>
          </w:tcPr>
          <w:p w14:paraId="6E86B263" w14:textId="77777777" w:rsidR="00386D30" w:rsidRDefault="00000000">
            <w:r>
              <w:rPr>
                <w:color w:val="FFFFFF"/>
              </w:rPr>
              <w:t>Sub-Category</w:t>
            </w:r>
          </w:p>
        </w:tc>
        <w:tc>
          <w:tcPr>
            <w:tcW w:w="1728" w:type="dxa"/>
            <w:shd w:val="clear" w:color="auto" w:fill="001F3F"/>
          </w:tcPr>
          <w:p w14:paraId="407668CA"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Intercept ($)</w:t>
            </w:r>
          </w:p>
        </w:tc>
        <w:tc>
          <w:tcPr>
            <w:tcW w:w="1728" w:type="dxa"/>
            <w:shd w:val="clear" w:color="auto" w:fill="001F3F"/>
          </w:tcPr>
          <w:p w14:paraId="199EEBB8"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Monthly Slope ($)</w:t>
            </w:r>
          </w:p>
        </w:tc>
        <w:tc>
          <w:tcPr>
            <w:tcW w:w="1728" w:type="dxa"/>
            <w:shd w:val="clear" w:color="auto" w:fill="001F3F"/>
          </w:tcPr>
          <w:p w14:paraId="00C5BFA0"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R² Value</w:t>
            </w:r>
          </w:p>
        </w:tc>
        <w:tc>
          <w:tcPr>
            <w:tcW w:w="1728" w:type="dxa"/>
            <w:shd w:val="clear" w:color="auto" w:fill="001F3F"/>
          </w:tcPr>
          <w:p w14:paraId="3D54FF11"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r>
      <w:tr w:rsidR="00386D30" w14:paraId="3A6FEBBE"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6988D6" w14:textId="77777777" w:rsidR="00386D30" w:rsidRDefault="00000000">
            <w:r>
              <w:t>Phones</w:t>
            </w:r>
          </w:p>
        </w:tc>
        <w:tc>
          <w:tcPr>
            <w:tcW w:w="1728" w:type="dxa"/>
          </w:tcPr>
          <w:p w14:paraId="62B35B60" w14:textId="77777777" w:rsidR="00386D30" w:rsidRDefault="00000000">
            <w:pPr>
              <w:cnfStyle w:val="000000100000" w:firstRow="0" w:lastRow="0" w:firstColumn="0" w:lastColumn="0" w:oddVBand="0" w:evenVBand="0" w:oddHBand="1" w:evenHBand="0" w:firstRowFirstColumn="0" w:firstRowLastColumn="0" w:lastRowFirstColumn="0" w:lastRowLastColumn="0"/>
            </w:pPr>
            <w:r>
              <w:t>5,200</w:t>
            </w:r>
          </w:p>
        </w:tc>
        <w:tc>
          <w:tcPr>
            <w:tcW w:w="1728" w:type="dxa"/>
          </w:tcPr>
          <w:p w14:paraId="15C54AD1" w14:textId="77777777" w:rsidR="00386D30" w:rsidRDefault="00000000">
            <w:pPr>
              <w:cnfStyle w:val="000000100000" w:firstRow="0" w:lastRow="0" w:firstColumn="0" w:lastColumn="0" w:oddVBand="0" w:evenVBand="0" w:oddHBand="1" w:evenHBand="0" w:firstRowFirstColumn="0" w:firstRowLastColumn="0" w:lastRowFirstColumn="0" w:lastRowLastColumn="0"/>
            </w:pPr>
            <w:r>
              <w:t>+$450.25</w:t>
            </w:r>
          </w:p>
        </w:tc>
        <w:tc>
          <w:tcPr>
            <w:tcW w:w="1728" w:type="dxa"/>
          </w:tcPr>
          <w:p w14:paraId="4CD3FEB4" w14:textId="77777777" w:rsidR="00386D30" w:rsidRDefault="00000000">
            <w:pPr>
              <w:cnfStyle w:val="000000100000" w:firstRow="0" w:lastRow="0" w:firstColumn="0" w:lastColumn="0" w:oddVBand="0" w:evenVBand="0" w:oddHBand="1" w:evenHBand="0" w:firstRowFirstColumn="0" w:firstRowLastColumn="0" w:lastRowFirstColumn="0" w:lastRowLastColumn="0"/>
            </w:pPr>
            <w:r>
              <w:t>0.78</w:t>
            </w:r>
          </w:p>
        </w:tc>
        <w:tc>
          <w:tcPr>
            <w:tcW w:w="1728" w:type="dxa"/>
          </w:tcPr>
          <w:p w14:paraId="7BDF23DE" w14:textId="77777777" w:rsidR="00386D30" w:rsidRDefault="00000000">
            <w:pPr>
              <w:cnfStyle w:val="000000100000" w:firstRow="0" w:lastRow="0" w:firstColumn="0" w:lastColumn="0" w:oddVBand="0" w:evenVBand="0" w:oddHBand="1" w:evenHBand="0" w:firstRowFirstColumn="0" w:firstRowLastColumn="0" w:lastRowFirstColumn="0" w:lastRowLastColumn="0"/>
            </w:pPr>
            <w:r>
              <w:t>Moderate trend, consistent growth</w:t>
            </w:r>
          </w:p>
        </w:tc>
      </w:tr>
      <w:tr w:rsidR="00386D30" w14:paraId="041A497F"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B3A7AB" w14:textId="77777777" w:rsidR="00386D30" w:rsidRDefault="00000000">
            <w:r>
              <w:t>Chairs</w:t>
            </w:r>
          </w:p>
        </w:tc>
        <w:tc>
          <w:tcPr>
            <w:tcW w:w="1728" w:type="dxa"/>
          </w:tcPr>
          <w:p w14:paraId="71344E8B" w14:textId="77777777" w:rsidR="00386D30" w:rsidRDefault="00000000">
            <w:pPr>
              <w:cnfStyle w:val="000000010000" w:firstRow="0" w:lastRow="0" w:firstColumn="0" w:lastColumn="0" w:oddVBand="0" w:evenVBand="0" w:oddHBand="0" w:evenHBand="1" w:firstRowFirstColumn="0" w:firstRowLastColumn="0" w:lastRowFirstColumn="0" w:lastRowLastColumn="0"/>
            </w:pPr>
            <w:r>
              <w:t>4,100</w:t>
            </w:r>
          </w:p>
        </w:tc>
        <w:tc>
          <w:tcPr>
            <w:tcW w:w="1728" w:type="dxa"/>
          </w:tcPr>
          <w:p w14:paraId="7EB61B69" w14:textId="77777777" w:rsidR="00386D30" w:rsidRDefault="00000000">
            <w:pPr>
              <w:cnfStyle w:val="000000010000" w:firstRow="0" w:lastRow="0" w:firstColumn="0" w:lastColumn="0" w:oddVBand="0" w:evenVBand="0" w:oddHBand="0" w:evenHBand="1" w:firstRowFirstColumn="0" w:firstRowLastColumn="0" w:lastRowFirstColumn="0" w:lastRowLastColumn="0"/>
            </w:pPr>
            <w:r>
              <w:t>+$385.50</w:t>
            </w:r>
          </w:p>
        </w:tc>
        <w:tc>
          <w:tcPr>
            <w:tcW w:w="1728" w:type="dxa"/>
          </w:tcPr>
          <w:p w14:paraId="2B468128" w14:textId="77777777" w:rsidR="00386D30" w:rsidRDefault="00000000">
            <w:pPr>
              <w:cnfStyle w:val="000000010000" w:firstRow="0" w:lastRow="0" w:firstColumn="0" w:lastColumn="0" w:oddVBand="0" w:evenVBand="0" w:oddHBand="0" w:evenHBand="1" w:firstRowFirstColumn="0" w:firstRowLastColumn="0" w:lastRowFirstColumn="0" w:lastRowLastColumn="0"/>
            </w:pPr>
            <w:r>
              <w:t>0.82</w:t>
            </w:r>
          </w:p>
        </w:tc>
        <w:tc>
          <w:tcPr>
            <w:tcW w:w="1728" w:type="dxa"/>
          </w:tcPr>
          <w:p w14:paraId="4AD5B8AB" w14:textId="77777777" w:rsidR="00386D30" w:rsidRDefault="00000000">
            <w:pPr>
              <w:cnfStyle w:val="000000010000" w:firstRow="0" w:lastRow="0" w:firstColumn="0" w:lastColumn="0" w:oddVBand="0" w:evenVBand="0" w:oddHBand="0" w:evenHBand="1" w:firstRowFirstColumn="0" w:firstRowLastColumn="0" w:lastRowFirstColumn="0" w:lastRowLastColumn="0"/>
            </w:pPr>
            <w:r>
              <w:t>Strong positive trend, highest R²</w:t>
            </w:r>
          </w:p>
        </w:tc>
      </w:tr>
      <w:tr w:rsidR="00386D30" w14:paraId="3DA217E4"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824AA6" w14:textId="77777777" w:rsidR="00386D30" w:rsidRDefault="00000000">
            <w:r>
              <w:t>Tables</w:t>
            </w:r>
          </w:p>
        </w:tc>
        <w:tc>
          <w:tcPr>
            <w:tcW w:w="1728" w:type="dxa"/>
          </w:tcPr>
          <w:p w14:paraId="4476C761" w14:textId="77777777" w:rsidR="00386D30" w:rsidRDefault="00000000">
            <w:pPr>
              <w:cnfStyle w:val="000000100000" w:firstRow="0" w:lastRow="0" w:firstColumn="0" w:lastColumn="0" w:oddVBand="0" w:evenVBand="0" w:oddHBand="1" w:evenHBand="0" w:firstRowFirstColumn="0" w:firstRowLastColumn="0" w:lastRowFirstColumn="0" w:lastRowLastColumn="0"/>
            </w:pPr>
            <w:r>
              <w:t>3,800</w:t>
            </w:r>
          </w:p>
        </w:tc>
        <w:tc>
          <w:tcPr>
            <w:tcW w:w="1728" w:type="dxa"/>
          </w:tcPr>
          <w:p w14:paraId="1BCB9E7F" w14:textId="77777777" w:rsidR="00386D30" w:rsidRDefault="00000000">
            <w:pPr>
              <w:cnfStyle w:val="000000100000" w:firstRow="0" w:lastRow="0" w:firstColumn="0" w:lastColumn="0" w:oddVBand="0" w:evenVBand="0" w:oddHBand="1" w:evenHBand="0" w:firstRowFirstColumn="0" w:firstRowLastColumn="0" w:lastRowFirstColumn="0" w:lastRowLastColumn="0"/>
            </w:pPr>
            <w:r>
              <w:t>+$325.75</w:t>
            </w:r>
          </w:p>
        </w:tc>
        <w:tc>
          <w:tcPr>
            <w:tcW w:w="1728" w:type="dxa"/>
          </w:tcPr>
          <w:p w14:paraId="6D8C21D6" w14:textId="77777777" w:rsidR="00386D30" w:rsidRDefault="00000000">
            <w:pPr>
              <w:cnfStyle w:val="000000100000" w:firstRow="0" w:lastRow="0" w:firstColumn="0" w:lastColumn="0" w:oddVBand="0" w:evenVBand="0" w:oddHBand="1" w:evenHBand="0" w:firstRowFirstColumn="0" w:firstRowLastColumn="0" w:lastRowFirstColumn="0" w:lastRowLastColumn="0"/>
            </w:pPr>
            <w:r>
              <w:t>0.75</w:t>
            </w:r>
          </w:p>
        </w:tc>
        <w:tc>
          <w:tcPr>
            <w:tcW w:w="1728" w:type="dxa"/>
          </w:tcPr>
          <w:p w14:paraId="33FAF552" w14:textId="77777777" w:rsidR="00386D30" w:rsidRDefault="00000000">
            <w:pPr>
              <w:cnfStyle w:val="000000100000" w:firstRow="0" w:lastRow="0" w:firstColumn="0" w:lastColumn="0" w:oddVBand="0" w:evenVBand="0" w:oddHBand="1" w:evenHBand="0" w:firstRowFirstColumn="0" w:firstRowLastColumn="0" w:lastRowFirstColumn="0" w:lastRowLastColumn="0"/>
            </w:pPr>
            <w:r>
              <w:t>Moderate trend, steady increase</w:t>
            </w:r>
          </w:p>
        </w:tc>
      </w:tr>
      <w:tr w:rsidR="00386D30" w14:paraId="0648D1B7"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7B5C26" w14:textId="77777777" w:rsidR="00386D30" w:rsidRDefault="00000000">
            <w:r>
              <w:t>Binders</w:t>
            </w:r>
          </w:p>
        </w:tc>
        <w:tc>
          <w:tcPr>
            <w:tcW w:w="1728" w:type="dxa"/>
          </w:tcPr>
          <w:p w14:paraId="2D8ADADF" w14:textId="77777777" w:rsidR="00386D30" w:rsidRDefault="00000000">
            <w:pPr>
              <w:cnfStyle w:val="000000010000" w:firstRow="0" w:lastRow="0" w:firstColumn="0" w:lastColumn="0" w:oddVBand="0" w:evenVBand="0" w:oddHBand="0" w:evenHBand="1" w:firstRowFirstColumn="0" w:firstRowLastColumn="0" w:lastRowFirstColumn="0" w:lastRowLastColumn="0"/>
            </w:pPr>
            <w:r>
              <w:t>2,900</w:t>
            </w:r>
          </w:p>
        </w:tc>
        <w:tc>
          <w:tcPr>
            <w:tcW w:w="1728" w:type="dxa"/>
          </w:tcPr>
          <w:p w14:paraId="42FB7846" w14:textId="77777777" w:rsidR="00386D30" w:rsidRDefault="00000000">
            <w:pPr>
              <w:cnfStyle w:val="000000010000" w:firstRow="0" w:lastRow="0" w:firstColumn="0" w:lastColumn="0" w:oddVBand="0" w:evenVBand="0" w:oddHBand="0" w:evenHBand="1" w:firstRowFirstColumn="0" w:firstRowLastColumn="0" w:lastRowFirstColumn="0" w:lastRowLastColumn="0"/>
            </w:pPr>
            <w:r>
              <w:t>+$280.30</w:t>
            </w:r>
          </w:p>
        </w:tc>
        <w:tc>
          <w:tcPr>
            <w:tcW w:w="1728" w:type="dxa"/>
          </w:tcPr>
          <w:p w14:paraId="4441F869" w14:textId="77777777" w:rsidR="00386D30" w:rsidRDefault="00000000">
            <w:pPr>
              <w:cnfStyle w:val="000000010000" w:firstRow="0" w:lastRow="0" w:firstColumn="0" w:lastColumn="0" w:oddVBand="0" w:evenVBand="0" w:oddHBand="0" w:evenHBand="1" w:firstRowFirstColumn="0" w:firstRowLastColumn="0" w:lastRowFirstColumn="0" w:lastRowLastColumn="0"/>
            </w:pPr>
            <w:r>
              <w:t>0.71</w:t>
            </w:r>
          </w:p>
        </w:tc>
        <w:tc>
          <w:tcPr>
            <w:tcW w:w="1728" w:type="dxa"/>
          </w:tcPr>
          <w:p w14:paraId="31E3ABF6" w14:textId="77777777" w:rsidR="00386D30" w:rsidRDefault="00000000">
            <w:pPr>
              <w:cnfStyle w:val="000000010000" w:firstRow="0" w:lastRow="0" w:firstColumn="0" w:lastColumn="0" w:oddVBand="0" w:evenVBand="0" w:oddHBand="0" w:evenHBand="1" w:firstRowFirstColumn="0" w:firstRowLastColumn="0" w:lastRowFirstColumn="0" w:lastRowLastColumn="0"/>
            </w:pPr>
            <w:r>
              <w:t>Moderate trend, sustained growth</w:t>
            </w:r>
          </w:p>
        </w:tc>
      </w:tr>
    </w:tbl>
    <w:p w14:paraId="2399EDCF" w14:textId="77777777" w:rsidR="00E312C3" w:rsidRDefault="00E312C3">
      <w:pPr>
        <w:pStyle w:val="Heading2"/>
        <w:rPr>
          <w:color w:val="2C3E50"/>
        </w:rPr>
      </w:pPr>
    </w:p>
    <w:p w14:paraId="657CA55E" w14:textId="77777777" w:rsidR="00E312C3" w:rsidRDefault="00E312C3">
      <w:pPr>
        <w:pStyle w:val="Heading2"/>
        <w:rPr>
          <w:color w:val="2C3E50"/>
        </w:rPr>
      </w:pPr>
    </w:p>
    <w:p w14:paraId="32A208B0" w14:textId="6344E7C7" w:rsidR="00386D30" w:rsidRDefault="00000000">
      <w:pPr>
        <w:pStyle w:val="Heading2"/>
      </w:pPr>
      <w:r>
        <w:rPr>
          <w:color w:val="2C3E50"/>
        </w:rPr>
        <w:t>2.3 Key Insights from Regression Analysis</w:t>
      </w:r>
    </w:p>
    <w:p w14:paraId="0D340C0D" w14:textId="77777777" w:rsidR="00386D30" w:rsidRDefault="00000000">
      <w:r>
        <w:t xml:space="preserve">The regression analysis reveals that all four leading sub-categories exhibit positive monthly growth trends, indicating sustained business expansion. The Chairs sub-category demonstrates the strongest model fit (R² = 0.82), suggesting that monthly trends explain 82% of the variance in sales, making this category highly predictable. Phones </w:t>
      </w:r>
      <w:proofErr w:type="gramStart"/>
      <w:r>
        <w:t>shows</w:t>
      </w:r>
      <w:proofErr w:type="gramEnd"/>
      <w:r>
        <w:t xml:space="preserve"> rapid growth with a monthly increase of $450.25, representing the steepest slope. These findings suggest that growth is not random but follows systematic patterns, enabling accurate planning and forecasting.</w:t>
      </w:r>
    </w:p>
    <w:p w14:paraId="20BF0679" w14:textId="77777777" w:rsidR="00386D30" w:rsidRDefault="00000000">
      <w:r>
        <w:br w:type="page"/>
      </w:r>
    </w:p>
    <w:p w14:paraId="5B6808D4" w14:textId="77777777" w:rsidR="00386D30" w:rsidRDefault="00000000">
      <w:pPr>
        <w:pStyle w:val="Heading1"/>
      </w:pPr>
      <w:r>
        <w:t>3. TIME SERIES ANALYSIS &amp; FINDINGS</w:t>
      </w:r>
    </w:p>
    <w:p w14:paraId="412781AF" w14:textId="77777777" w:rsidR="00386D30" w:rsidRDefault="00000000">
      <w:pPr>
        <w:pStyle w:val="Heading2"/>
      </w:pPr>
      <w:r>
        <w:rPr>
          <w:color w:val="2C3E50"/>
        </w:rPr>
        <w:t>3.1 Time Series Decomposition</w:t>
      </w:r>
    </w:p>
    <w:p w14:paraId="23A6FA28" w14:textId="77777777" w:rsidR="00386D30" w:rsidRDefault="00000000">
      <w:r>
        <w:t>Time series decomposition separates monthly sales data into three additive components: Trend, Seasonal, and Residual. This decomposition reveals underlying patterns that guide forecasting strategies.</w:t>
      </w:r>
    </w:p>
    <w:p w14:paraId="57D7935E" w14:textId="77777777" w:rsidR="00386D30" w:rsidRDefault="00000000">
      <w:pPr>
        <w:pStyle w:val="ListBullet"/>
      </w:pPr>
      <w:r>
        <w:rPr>
          <w:b/>
        </w:rPr>
        <w:t>Table 3.1: Time Series Components Analysis</w:t>
      </w:r>
    </w:p>
    <w:tbl>
      <w:tblPr>
        <w:tblStyle w:val="LightGrid-Accent1"/>
        <w:tblW w:w="0" w:type="auto"/>
        <w:tblLook w:val="04A0" w:firstRow="1" w:lastRow="0" w:firstColumn="1" w:lastColumn="0" w:noHBand="0" w:noVBand="1"/>
      </w:tblPr>
      <w:tblGrid>
        <w:gridCol w:w="2880"/>
        <w:gridCol w:w="2880"/>
        <w:gridCol w:w="2880"/>
      </w:tblGrid>
      <w:tr w:rsidR="00386D30" w14:paraId="0D7058FA" w14:textId="77777777" w:rsidTr="0038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1F3F"/>
          </w:tcPr>
          <w:p w14:paraId="043D57E4" w14:textId="77777777" w:rsidR="00386D30" w:rsidRDefault="00000000">
            <w:r>
              <w:rPr>
                <w:color w:val="FFFFFF"/>
              </w:rPr>
              <w:t>Component</w:t>
            </w:r>
          </w:p>
        </w:tc>
        <w:tc>
          <w:tcPr>
            <w:tcW w:w="2880" w:type="dxa"/>
            <w:shd w:val="clear" w:color="auto" w:fill="001F3F"/>
          </w:tcPr>
          <w:p w14:paraId="40617808"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Characteristics</w:t>
            </w:r>
          </w:p>
        </w:tc>
        <w:tc>
          <w:tcPr>
            <w:tcW w:w="2880" w:type="dxa"/>
            <w:shd w:val="clear" w:color="auto" w:fill="001F3F"/>
          </w:tcPr>
          <w:p w14:paraId="76469934"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Impact Level</w:t>
            </w:r>
          </w:p>
        </w:tc>
      </w:tr>
      <w:tr w:rsidR="00386D30" w14:paraId="290C7E3D"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236AE" w14:textId="77777777" w:rsidR="00386D30" w:rsidRDefault="00000000">
            <w:r>
              <w:t>Trend</w:t>
            </w:r>
          </w:p>
        </w:tc>
        <w:tc>
          <w:tcPr>
            <w:tcW w:w="2880" w:type="dxa"/>
          </w:tcPr>
          <w:p w14:paraId="17C86C1B" w14:textId="77777777" w:rsidR="00386D30" w:rsidRDefault="00000000">
            <w:pPr>
              <w:cnfStyle w:val="000000100000" w:firstRow="0" w:lastRow="0" w:firstColumn="0" w:lastColumn="0" w:oddVBand="0" w:evenVBand="0" w:oddHBand="1" w:evenHBand="0" w:firstRowFirstColumn="0" w:firstRowLastColumn="0" w:lastRowFirstColumn="0" w:lastRowLastColumn="0"/>
            </w:pPr>
            <w:r>
              <w:t>Consistent upward movement, indicates growing business</w:t>
            </w:r>
          </w:p>
        </w:tc>
        <w:tc>
          <w:tcPr>
            <w:tcW w:w="2880" w:type="dxa"/>
          </w:tcPr>
          <w:p w14:paraId="7EE818CD" w14:textId="77777777" w:rsidR="00386D30" w:rsidRDefault="00000000">
            <w:pPr>
              <w:cnfStyle w:val="000000100000" w:firstRow="0" w:lastRow="0" w:firstColumn="0" w:lastColumn="0" w:oddVBand="0" w:evenVBand="0" w:oddHBand="1" w:evenHBand="0" w:firstRowFirstColumn="0" w:firstRowLastColumn="0" w:lastRowFirstColumn="0" w:lastRowLastColumn="0"/>
            </w:pPr>
            <w:r>
              <w:t>High</w:t>
            </w:r>
          </w:p>
        </w:tc>
      </w:tr>
      <w:tr w:rsidR="00386D30" w14:paraId="78AA2CB9"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3B71C" w14:textId="77777777" w:rsidR="00386D30" w:rsidRDefault="00000000">
            <w:r>
              <w:t>Seasonality</w:t>
            </w:r>
          </w:p>
        </w:tc>
        <w:tc>
          <w:tcPr>
            <w:tcW w:w="2880" w:type="dxa"/>
          </w:tcPr>
          <w:p w14:paraId="29A49BEB" w14:textId="77777777" w:rsidR="00386D30" w:rsidRDefault="00000000">
            <w:pPr>
              <w:cnfStyle w:val="000000010000" w:firstRow="0" w:lastRow="0" w:firstColumn="0" w:lastColumn="0" w:oddVBand="0" w:evenVBand="0" w:oddHBand="0" w:evenHBand="1" w:firstRowFirstColumn="0" w:firstRowLastColumn="0" w:lastRowFirstColumn="0" w:lastRowLastColumn="0"/>
            </w:pPr>
            <w:r>
              <w:t>Recurring patterns with 12-month cycle, peaks in Q4</w:t>
            </w:r>
          </w:p>
        </w:tc>
        <w:tc>
          <w:tcPr>
            <w:tcW w:w="2880" w:type="dxa"/>
          </w:tcPr>
          <w:p w14:paraId="2AFE4BAE" w14:textId="77777777" w:rsidR="00386D30" w:rsidRDefault="00000000">
            <w:pPr>
              <w:cnfStyle w:val="000000010000" w:firstRow="0" w:lastRow="0" w:firstColumn="0" w:lastColumn="0" w:oddVBand="0" w:evenVBand="0" w:oddHBand="0" w:evenHBand="1" w:firstRowFirstColumn="0" w:firstRowLastColumn="0" w:lastRowFirstColumn="0" w:lastRowLastColumn="0"/>
            </w:pPr>
            <w:r>
              <w:t>Moderate-High</w:t>
            </w:r>
          </w:p>
        </w:tc>
      </w:tr>
      <w:tr w:rsidR="00386D30" w14:paraId="05097C87"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29F3B" w14:textId="77777777" w:rsidR="00386D30" w:rsidRDefault="00000000">
            <w:r>
              <w:t>Residual</w:t>
            </w:r>
          </w:p>
        </w:tc>
        <w:tc>
          <w:tcPr>
            <w:tcW w:w="2880" w:type="dxa"/>
          </w:tcPr>
          <w:p w14:paraId="3523752C" w14:textId="77777777" w:rsidR="00386D30" w:rsidRDefault="00000000">
            <w:pPr>
              <w:cnfStyle w:val="000000100000" w:firstRow="0" w:lastRow="0" w:firstColumn="0" w:lastColumn="0" w:oddVBand="0" w:evenVBand="0" w:oddHBand="1" w:evenHBand="0" w:firstRowFirstColumn="0" w:firstRowLastColumn="0" w:lastRowFirstColumn="0" w:lastRowLastColumn="0"/>
            </w:pPr>
            <w:r>
              <w:t>Random fluctuations and unexplained variance</w:t>
            </w:r>
          </w:p>
        </w:tc>
        <w:tc>
          <w:tcPr>
            <w:tcW w:w="2880" w:type="dxa"/>
          </w:tcPr>
          <w:p w14:paraId="2C52F18D" w14:textId="77777777" w:rsidR="00386D30" w:rsidRDefault="00000000">
            <w:pPr>
              <w:cnfStyle w:val="000000100000" w:firstRow="0" w:lastRow="0" w:firstColumn="0" w:lastColumn="0" w:oddVBand="0" w:evenVBand="0" w:oddHBand="1" w:evenHBand="0" w:firstRowFirstColumn="0" w:firstRowLastColumn="0" w:lastRowFirstColumn="0" w:lastRowLastColumn="0"/>
            </w:pPr>
            <w:r>
              <w:t>Low-Moderate</w:t>
            </w:r>
          </w:p>
        </w:tc>
      </w:tr>
      <w:tr w:rsidR="00386D30" w14:paraId="201944F0"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FAF366" w14:textId="77777777" w:rsidR="00386D30" w:rsidRDefault="00000000">
            <w:r>
              <w:t>Overall Pattern</w:t>
            </w:r>
          </w:p>
        </w:tc>
        <w:tc>
          <w:tcPr>
            <w:tcW w:w="2880" w:type="dxa"/>
          </w:tcPr>
          <w:p w14:paraId="51587E46" w14:textId="77777777" w:rsidR="00386D30" w:rsidRDefault="00000000">
            <w:pPr>
              <w:cnfStyle w:val="000000010000" w:firstRow="0" w:lastRow="0" w:firstColumn="0" w:lastColumn="0" w:oddVBand="0" w:evenVBand="0" w:oddHBand="0" w:evenHBand="1" w:firstRowFirstColumn="0" w:firstRowLastColumn="0" w:lastRowFirstColumn="0" w:lastRowLastColumn="0"/>
            </w:pPr>
            <w:r>
              <w:t>Additive model appropriate, no multiplicative effects</w:t>
            </w:r>
          </w:p>
        </w:tc>
        <w:tc>
          <w:tcPr>
            <w:tcW w:w="2880" w:type="dxa"/>
          </w:tcPr>
          <w:p w14:paraId="4AF124B0" w14:textId="77777777" w:rsidR="00386D30" w:rsidRDefault="00000000">
            <w:pPr>
              <w:cnfStyle w:val="000000010000" w:firstRow="0" w:lastRow="0" w:firstColumn="0" w:lastColumn="0" w:oddVBand="0" w:evenVBand="0" w:oddHBand="0" w:evenHBand="1" w:firstRowFirstColumn="0" w:firstRowLastColumn="0" w:lastRowFirstColumn="0" w:lastRowLastColumn="0"/>
            </w:pPr>
            <w:r>
              <w:t>Confirmed</w:t>
            </w:r>
          </w:p>
        </w:tc>
      </w:tr>
    </w:tbl>
    <w:p w14:paraId="44DBE7CC" w14:textId="77777777" w:rsidR="00E312C3" w:rsidRDefault="00E312C3">
      <w:pPr>
        <w:pStyle w:val="Heading2"/>
        <w:rPr>
          <w:color w:val="2C3E50"/>
        </w:rPr>
      </w:pPr>
    </w:p>
    <w:p w14:paraId="04766C3B" w14:textId="435845DD" w:rsidR="00386D30" w:rsidRDefault="00000000">
      <w:pPr>
        <w:pStyle w:val="Heading2"/>
      </w:pPr>
      <w:r>
        <w:rPr>
          <w:color w:val="2C3E50"/>
        </w:rPr>
        <w:t>3.2 Seasonal Patterns Identified</w:t>
      </w:r>
    </w:p>
    <w:p w14:paraId="4E22BA05" w14:textId="77777777" w:rsidR="00386D30" w:rsidRDefault="00000000">
      <w:r>
        <w:t>The analysis identifies strong quarterly seasonality with notable peaks during the fourth quarter (October-December), consistent with retail business cycles driven by holiday shopping. A secondary peak appears in September, coinciding with back-to-school purchasing. Summer months (June-August) show relative weakness, while January demonstrates post-holiday recovery.</w:t>
      </w:r>
    </w:p>
    <w:p w14:paraId="4926581E" w14:textId="77777777" w:rsidR="00E312C3" w:rsidRDefault="00E312C3">
      <w:pPr>
        <w:pStyle w:val="Heading2"/>
        <w:rPr>
          <w:color w:val="2C3E50"/>
        </w:rPr>
      </w:pPr>
    </w:p>
    <w:p w14:paraId="25474090" w14:textId="55F8E998" w:rsidR="00386D30" w:rsidRDefault="00000000">
      <w:pPr>
        <w:pStyle w:val="Heading2"/>
      </w:pPr>
      <w:r>
        <w:rPr>
          <w:color w:val="2C3E50"/>
        </w:rPr>
        <w:t>3.3 Trend Components</w:t>
      </w:r>
    </w:p>
    <w:p w14:paraId="3984999F" w14:textId="77777777" w:rsidR="00386D30" w:rsidRDefault="00000000">
      <w:r>
        <w:t>The underlying trend component exhibits consistent positive growth throughout the analysis period, with steeper increases in recent years (2019-2021). This indicates accelerating business expansion, potentially driven by market share gains or expanded product offerings. The trend is approximately linear in additive terms, supporting the linear regression findings from Section 2.</w:t>
      </w:r>
    </w:p>
    <w:p w14:paraId="6715514D" w14:textId="77777777" w:rsidR="00E312C3" w:rsidRDefault="00E312C3">
      <w:pPr>
        <w:pStyle w:val="Heading2"/>
        <w:rPr>
          <w:color w:val="2C3E50"/>
        </w:rPr>
      </w:pPr>
    </w:p>
    <w:p w14:paraId="2F064347" w14:textId="37DCD2C3" w:rsidR="00386D30" w:rsidRDefault="00000000">
      <w:pPr>
        <w:pStyle w:val="Heading2"/>
      </w:pPr>
      <w:r>
        <w:rPr>
          <w:color w:val="2C3E50"/>
        </w:rPr>
        <w:t>3.4 Stationarity Assessment</w:t>
      </w:r>
    </w:p>
    <w:p w14:paraId="1E4FBE75" w14:textId="77777777" w:rsidR="00386D30" w:rsidRDefault="00000000">
      <w:r>
        <w:t xml:space="preserve">Initial differencing (D=1) was applied to achieve stationarity, a requirement for ARIMA modeling. The differenced series shows stable variance and </w:t>
      </w:r>
      <w:proofErr w:type="gramStart"/>
      <w:r>
        <w:t>mean</w:t>
      </w:r>
      <w:proofErr w:type="gramEnd"/>
      <w:r>
        <w:t>, confirming appropriateness of the ARIMA(1,1,1) specification chosen for forecasting.</w:t>
      </w:r>
    </w:p>
    <w:p w14:paraId="5FF1AA6E" w14:textId="77777777" w:rsidR="00386D30" w:rsidRDefault="00000000">
      <w:pPr>
        <w:pStyle w:val="Heading1"/>
      </w:pPr>
      <w:r>
        <w:t>4. ARIMA FORECASTING RESULTS</w:t>
      </w:r>
    </w:p>
    <w:p w14:paraId="552436D2" w14:textId="77777777" w:rsidR="00386D30" w:rsidRDefault="00000000">
      <w:pPr>
        <w:pStyle w:val="Heading2"/>
      </w:pPr>
      <w:r>
        <w:rPr>
          <w:color w:val="2C3E50"/>
        </w:rPr>
        <w:t>4.1 Model Specification &amp; Selection</w:t>
      </w:r>
    </w:p>
    <w:p w14:paraId="6957EF9A" w14:textId="77777777" w:rsidR="00386D30" w:rsidRDefault="00000000">
      <w:r>
        <w:t>The ARIMA(1,1,1) model was selected through systematic evaluation of candidate specifications based on AIC (Akaike Information Criterion) and residual diagnostics. The model structure indicates: (p=1) one autoregressive term, (d=1) first-order differencing for stationarity, and (q=1) one moving average term. This parsimonious specification balances model complexity with forecasting accuracy.</w:t>
      </w:r>
    </w:p>
    <w:p w14:paraId="6D8FD490" w14:textId="77777777" w:rsidR="00386D30" w:rsidRDefault="00000000">
      <w:pPr>
        <w:pStyle w:val="ListBullet"/>
      </w:pPr>
      <w:r>
        <w:rPr>
          <w:b/>
        </w:rPr>
        <w:t>Table 4.1: ARIMA Model Performance Metrics</w:t>
      </w:r>
    </w:p>
    <w:tbl>
      <w:tblPr>
        <w:tblStyle w:val="LightGrid-Accent1"/>
        <w:tblW w:w="0" w:type="auto"/>
        <w:tblLook w:val="04A0" w:firstRow="1" w:lastRow="0" w:firstColumn="1" w:lastColumn="0" w:noHBand="0" w:noVBand="1"/>
      </w:tblPr>
      <w:tblGrid>
        <w:gridCol w:w="2880"/>
        <w:gridCol w:w="2880"/>
        <w:gridCol w:w="2880"/>
      </w:tblGrid>
      <w:tr w:rsidR="00386D30" w14:paraId="714C7F24" w14:textId="77777777" w:rsidTr="0038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001F3F"/>
          </w:tcPr>
          <w:p w14:paraId="41DA8E8D" w14:textId="77777777" w:rsidR="00386D30" w:rsidRDefault="00000000">
            <w:r>
              <w:rPr>
                <w:color w:val="FFFFFF"/>
              </w:rPr>
              <w:t>Metric</w:t>
            </w:r>
          </w:p>
        </w:tc>
        <w:tc>
          <w:tcPr>
            <w:tcW w:w="2880" w:type="dxa"/>
            <w:shd w:val="clear" w:color="auto" w:fill="001F3F"/>
          </w:tcPr>
          <w:p w14:paraId="789B82F9"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Value</w:t>
            </w:r>
          </w:p>
        </w:tc>
        <w:tc>
          <w:tcPr>
            <w:tcW w:w="2880" w:type="dxa"/>
            <w:shd w:val="clear" w:color="auto" w:fill="001F3F"/>
          </w:tcPr>
          <w:p w14:paraId="00FC7CCD"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Interpretation</w:t>
            </w:r>
          </w:p>
        </w:tc>
      </w:tr>
      <w:tr w:rsidR="00386D30" w14:paraId="769177AB"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66A8A" w14:textId="77777777" w:rsidR="00386D30" w:rsidRDefault="00000000">
            <w:r>
              <w:t>Model Specification</w:t>
            </w:r>
          </w:p>
        </w:tc>
        <w:tc>
          <w:tcPr>
            <w:tcW w:w="2880" w:type="dxa"/>
          </w:tcPr>
          <w:p w14:paraId="5721E2B5" w14:textId="77777777" w:rsidR="00386D30" w:rsidRDefault="00000000">
            <w:pPr>
              <w:cnfStyle w:val="000000100000" w:firstRow="0" w:lastRow="0" w:firstColumn="0" w:lastColumn="0" w:oddVBand="0" w:evenVBand="0" w:oddHBand="1" w:evenHBand="0" w:firstRowFirstColumn="0" w:firstRowLastColumn="0" w:lastRowFirstColumn="0" w:lastRowLastColumn="0"/>
            </w:pPr>
            <w:r>
              <w:t>ARIMA(1,1,1)</w:t>
            </w:r>
          </w:p>
        </w:tc>
        <w:tc>
          <w:tcPr>
            <w:tcW w:w="2880" w:type="dxa"/>
          </w:tcPr>
          <w:p w14:paraId="4A032AE5" w14:textId="77777777" w:rsidR="00386D30" w:rsidRDefault="00000000">
            <w:pPr>
              <w:cnfStyle w:val="000000100000" w:firstRow="0" w:lastRow="0" w:firstColumn="0" w:lastColumn="0" w:oddVBand="0" w:evenVBand="0" w:oddHBand="1" w:evenHBand="0" w:firstRowFirstColumn="0" w:firstRowLastColumn="0" w:lastRowFirstColumn="0" w:lastRowLastColumn="0"/>
            </w:pPr>
            <w:r>
              <w:t>Confirmed optimal</w:t>
            </w:r>
          </w:p>
        </w:tc>
      </w:tr>
      <w:tr w:rsidR="00386D30" w14:paraId="022400C8"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A8CB37" w14:textId="77777777" w:rsidR="00386D30" w:rsidRDefault="00000000">
            <w:r>
              <w:t>RMSE</w:t>
            </w:r>
          </w:p>
        </w:tc>
        <w:tc>
          <w:tcPr>
            <w:tcW w:w="2880" w:type="dxa"/>
          </w:tcPr>
          <w:p w14:paraId="7788CCA0" w14:textId="77777777" w:rsidR="00386D30" w:rsidRDefault="00000000">
            <w:pPr>
              <w:cnfStyle w:val="000000010000" w:firstRow="0" w:lastRow="0" w:firstColumn="0" w:lastColumn="0" w:oddVBand="0" w:evenVBand="0" w:oddHBand="0" w:evenHBand="1" w:firstRowFirstColumn="0" w:firstRowLastColumn="0" w:lastRowFirstColumn="0" w:lastRowLastColumn="0"/>
            </w:pPr>
            <w:r>
              <w:t>850.45</w:t>
            </w:r>
          </w:p>
        </w:tc>
        <w:tc>
          <w:tcPr>
            <w:tcW w:w="2880" w:type="dxa"/>
          </w:tcPr>
          <w:p w14:paraId="561F198C" w14:textId="77777777" w:rsidR="00386D30" w:rsidRDefault="00000000">
            <w:pPr>
              <w:cnfStyle w:val="000000010000" w:firstRow="0" w:lastRow="0" w:firstColumn="0" w:lastColumn="0" w:oddVBand="0" w:evenVBand="0" w:oddHBand="0" w:evenHBand="1" w:firstRowFirstColumn="0" w:firstRowLastColumn="0" w:lastRowFirstColumn="0" w:lastRowLastColumn="0"/>
            </w:pPr>
            <w:r>
              <w:t>Average prediction deviation</w:t>
            </w:r>
          </w:p>
        </w:tc>
      </w:tr>
      <w:tr w:rsidR="00386D30" w14:paraId="2782B4C9"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3EA1DE" w14:textId="77777777" w:rsidR="00386D30" w:rsidRDefault="00000000">
            <w:r>
              <w:t>MAE</w:t>
            </w:r>
          </w:p>
        </w:tc>
        <w:tc>
          <w:tcPr>
            <w:tcW w:w="2880" w:type="dxa"/>
          </w:tcPr>
          <w:p w14:paraId="0FD497BF" w14:textId="77777777" w:rsidR="00386D30" w:rsidRDefault="00000000">
            <w:pPr>
              <w:cnfStyle w:val="000000100000" w:firstRow="0" w:lastRow="0" w:firstColumn="0" w:lastColumn="0" w:oddVBand="0" w:evenVBand="0" w:oddHBand="1" w:evenHBand="0" w:firstRowFirstColumn="0" w:firstRowLastColumn="0" w:lastRowFirstColumn="0" w:lastRowLastColumn="0"/>
            </w:pPr>
            <w:r>
              <w:t>720.30</w:t>
            </w:r>
          </w:p>
        </w:tc>
        <w:tc>
          <w:tcPr>
            <w:tcW w:w="2880" w:type="dxa"/>
          </w:tcPr>
          <w:p w14:paraId="69CE398D" w14:textId="77777777" w:rsidR="00386D30" w:rsidRDefault="00000000">
            <w:pPr>
              <w:cnfStyle w:val="000000100000" w:firstRow="0" w:lastRow="0" w:firstColumn="0" w:lastColumn="0" w:oddVBand="0" w:evenVBand="0" w:oddHBand="1" w:evenHBand="0" w:firstRowFirstColumn="0" w:firstRowLastColumn="0" w:lastRowFirstColumn="0" w:lastRowLastColumn="0"/>
            </w:pPr>
            <w:r>
              <w:t>Average absolute error</w:t>
            </w:r>
          </w:p>
        </w:tc>
      </w:tr>
      <w:tr w:rsidR="00386D30" w14:paraId="22717C02"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5E3F56" w14:textId="77777777" w:rsidR="00386D30" w:rsidRDefault="00000000">
            <w:r>
              <w:t>AIC</w:t>
            </w:r>
          </w:p>
        </w:tc>
        <w:tc>
          <w:tcPr>
            <w:tcW w:w="2880" w:type="dxa"/>
          </w:tcPr>
          <w:p w14:paraId="26B0A88D" w14:textId="77777777" w:rsidR="00386D30" w:rsidRDefault="00000000">
            <w:pPr>
              <w:cnfStyle w:val="000000010000" w:firstRow="0" w:lastRow="0" w:firstColumn="0" w:lastColumn="0" w:oddVBand="0" w:evenVBand="0" w:oddHBand="0" w:evenHBand="1" w:firstRowFirstColumn="0" w:firstRowLastColumn="0" w:lastRowFirstColumn="0" w:lastRowLastColumn="0"/>
            </w:pPr>
            <w:r>
              <w:t>2345.67</w:t>
            </w:r>
          </w:p>
        </w:tc>
        <w:tc>
          <w:tcPr>
            <w:tcW w:w="2880" w:type="dxa"/>
          </w:tcPr>
          <w:p w14:paraId="623EE8AF" w14:textId="77777777" w:rsidR="00386D30" w:rsidRDefault="00000000">
            <w:pPr>
              <w:cnfStyle w:val="000000010000" w:firstRow="0" w:lastRow="0" w:firstColumn="0" w:lastColumn="0" w:oddVBand="0" w:evenVBand="0" w:oddHBand="0" w:evenHBand="1" w:firstRowFirstColumn="0" w:firstRowLastColumn="0" w:lastRowFirstColumn="0" w:lastRowLastColumn="0"/>
            </w:pPr>
            <w:r>
              <w:t>Model goodness-of-fit</w:t>
            </w:r>
          </w:p>
        </w:tc>
      </w:tr>
      <w:tr w:rsidR="00386D30" w14:paraId="30358BC0"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AF2AEB" w14:textId="77777777" w:rsidR="00386D30" w:rsidRDefault="00000000">
            <w:r>
              <w:t>Ljung-Box p-value</w:t>
            </w:r>
          </w:p>
        </w:tc>
        <w:tc>
          <w:tcPr>
            <w:tcW w:w="2880" w:type="dxa"/>
          </w:tcPr>
          <w:p w14:paraId="390E838A" w14:textId="77777777" w:rsidR="00386D30" w:rsidRDefault="00000000">
            <w:pPr>
              <w:cnfStyle w:val="000000100000" w:firstRow="0" w:lastRow="0" w:firstColumn="0" w:lastColumn="0" w:oddVBand="0" w:evenVBand="0" w:oddHBand="1" w:evenHBand="0" w:firstRowFirstColumn="0" w:firstRowLastColumn="0" w:lastRowFirstColumn="0" w:lastRowLastColumn="0"/>
            </w:pPr>
            <w:r>
              <w:t>0.425</w:t>
            </w:r>
          </w:p>
        </w:tc>
        <w:tc>
          <w:tcPr>
            <w:tcW w:w="2880" w:type="dxa"/>
          </w:tcPr>
          <w:p w14:paraId="7CD91CDF" w14:textId="77777777" w:rsidR="00386D30" w:rsidRDefault="00000000">
            <w:pPr>
              <w:cnfStyle w:val="000000100000" w:firstRow="0" w:lastRow="0" w:firstColumn="0" w:lastColumn="0" w:oddVBand="0" w:evenVBand="0" w:oddHBand="1" w:evenHBand="0" w:firstRowFirstColumn="0" w:firstRowLastColumn="0" w:lastRowFirstColumn="0" w:lastRowLastColumn="0"/>
            </w:pPr>
            <w:r>
              <w:t>Residuals are white noise</w:t>
            </w:r>
          </w:p>
        </w:tc>
      </w:tr>
    </w:tbl>
    <w:p w14:paraId="41F4581B" w14:textId="77777777" w:rsidR="00E312C3" w:rsidRDefault="00E312C3">
      <w:pPr>
        <w:pStyle w:val="Heading2"/>
        <w:rPr>
          <w:color w:val="2C3E50"/>
        </w:rPr>
      </w:pPr>
    </w:p>
    <w:p w14:paraId="113F1E98" w14:textId="21CFF4F0" w:rsidR="00386D30" w:rsidRDefault="00000000">
      <w:pPr>
        <w:pStyle w:val="Heading2"/>
      </w:pPr>
      <w:r>
        <w:rPr>
          <w:color w:val="2C3E50"/>
        </w:rPr>
        <w:t>4.2 Six-Month Forecast</w:t>
      </w:r>
    </w:p>
    <w:p w14:paraId="3D855887" w14:textId="77777777" w:rsidR="00386D30" w:rsidRDefault="00000000">
      <w:r>
        <w:t>The model generates predictions for six months ahead with associated confidence intervals. These forecasts incorporate both trend continuation and seasonal adjustments observed in historical data.</w:t>
      </w:r>
    </w:p>
    <w:p w14:paraId="3FA20C6F" w14:textId="77777777" w:rsidR="00386D30" w:rsidRDefault="00000000">
      <w:pPr>
        <w:pStyle w:val="ListBullet"/>
      </w:pPr>
      <w:r>
        <w:rPr>
          <w:b/>
        </w:rPr>
        <w:t>Table 4.2: Six-Month Sales Forecast with Confidence Intervals</w:t>
      </w:r>
    </w:p>
    <w:tbl>
      <w:tblPr>
        <w:tblStyle w:val="LightGrid-Accent1"/>
        <w:tblW w:w="0" w:type="auto"/>
        <w:tblLook w:val="04A0" w:firstRow="1" w:lastRow="0" w:firstColumn="1" w:lastColumn="0" w:noHBand="0" w:noVBand="1"/>
      </w:tblPr>
      <w:tblGrid>
        <w:gridCol w:w="2160"/>
        <w:gridCol w:w="2160"/>
        <w:gridCol w:w="2160"/>
        <w:gridCol w:w="2160"/>
      </w:tblGrid>
      <w:tr w:rsidR="00386D30" w14:paraId="390E48CB" w14:textId="77777777" w:rsidTr="0038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1F3F"/>
          </w:tcPr>
          <w:p w14:paraId="46C3CC8D" w14:textId="77777777" w:rsidR="00386D30" w:rsidRDefault="00000000">
            <w:r>
              <w:rPr>
                <w:color w:val="FFFFFF"/>
              </w:rPr>
              <w:t>Month</w:t>
            </w:r>
          </w:p>
        </w:tc>
        <w:tc>
          <w:tcPr>
            <w:tcW w:w="2160" w:type="dxa"/>
            <w:shd w:val="clear" w:color="auto" w:fill="001F3F"/>
          </w:tcPr>
          <w:p w14:paraId="608B08F9"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Forecast ($)</w:t>
            </w:r>
          </w:p>
        </w:tc>
        <w:tc>
          <w:tcPr>
            <w:tcW w:w="2160" w:type="dxa"/>
            <w:shd w:val="clear" w:color="auto" w:fill="001F3F"/>
          </w:tcPr>
          <w:p w14:paraId="50E42ACC"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95% Lower Bound ($)</w:t>
            </w:r>
          </w:p>
        </w:tc>
        <w:tc>
          <w:tcPr>
            <w:tcW w:w="2160" w:type="dxa"/>
            <w:shd w:val="clear" w:color="auto" w:fill="001F3F"/>
          </w:tcPr>
          <w:p w14:paraId="5C4AB4FE"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95% Upper Bound ($)</w:t>
            </w:r>
          </w:p>
        </w:tc>
      </w:tr>
      <w:tr w:rsidR="00386D30" w14:paraId="6DE0B738"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0B6963" w14:textId="77777777" w:rsidR="00386D30" w:rsidRDefault="00000000">
            <w:r>
              <w:t>Month +1</w:t>
            </w:r>
          </w:p>
        </w:tc>
        <w:tc>
          <w:tcPr>
            <w:tcW w:w="2160" w:type="dxa"/>
          </w:tcPr>
          <w:p w14:paraId="74D6EC67" w14:textId="77777777" w:rsidR="00386D30" w:rsidRDefault="00000000">
            <w:pPr>
              <w:cnfStyle w:val="000000100000" w:firstRow="0" w:lastRow="0" w:firstColumn="0" w:lastColumn="0" w:oddVBand="0" w:evenVBand="0" w:oddHBand="1" w:evenHBand="0" w:firstRowFirstColumn="0" w:firstRowLastColumn="0" w:lastRowFirstColumn="0" w:lastRowLastColumn="0"/>
            </w:pPr>
            <w:r>
              <w:t>18,450</w:t>
            </w:r>
          </w:p>
        </w:tc>
        <w:tc>
          <w:tcPr>
            <w:tcW w:w="2160" w:type="dxa"/>
          </w:tcPr>
          <w:p w14:paraId="74382BEB" w14:textId="77777777" w:rsidR="00386D30" w:rsidRDefault="00000000">
            <w:pPr>
              <w:cnfStyle w:val="000000100000" w:firstRow="0" w:lastRow="0" w:firstColumn="0" w:lastColumn="0" w:oddVBand="0" w:evenVBand="0" w:oddHBand="1" w:evenHBand="0" w:firstRowFirstColumn="0" w:firstRowLastColumn="0" w:lastRowFirstColumn="0" w:lastRowLastColumn="0"/>
            </w:pPr>
            <w:r>
              <w:t>17,200</w:t>
            </w:r>
          </w:p>
        </w:tc>
        <w:tc>
          <w:tcPr>
            <w:tcW w:w="2160" w:type="dxa"/>
          </w:tcPr>
          <w:p w14:paraId="29F9C3FE" w14:textId="77777777" w:rsidR="00386D30" w:rsidRDefault="00000000">
            <w:pPr>
              <w:cnfStyle w:val="000000100000" w:firstRow="0" w:lastRow="0" w:firstColumn="0" w:lastColumn="0" w:oddVBand="0" w:evenVBand="0" w:oddHBand="1" w:evenHBand="0" w:firstRowFirstColumn="0" w:firstRowLastColumn="0" w:lastRowFirstColumn="0" w:lastRowLastColumn="0"/>
            </w:pPr>
            <w:r>
              <w:t>19,700</w:t>
            </w:r>
          </w:p>
        </w:tc>
      </w:tr>
      <w:tr w:rsidR="00386D30" w14:paraId="74D4299B"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E1D847" w14:textId="77777777" w:rsidR="00386D30" w:rsidRDefault="00000000">
            <w:r>
              <w:t>Month +2</w:t>
            </w:r>
          </w:p>
        </w:tc>
        <w:tc>
          <w:tcPr>
            <w:tcW w:w="2160" w:type="dxa"/>
          </w:tcPr>
          <w:p w14:paraId="5332FC3A" w14:textId="77777777" w:rsidR="00386D30" w:rsidRDefault="00000000">
            <w:pPr>
              <w:cnfStyle w:val="000000010000" w:firstRow="0" w:lastRow="0" w:firstColumn="0" w:lastColumn="0" w:oddVBand="0" w:evenVBand="0" w:oddHBand="0" w:evenHBand="1" w:firstRowFirstColumn="0" w:firstRowLastColumn="0" w:lastRowFirstColumn="0" w:lastRowLastColumn="0"/>
            </w:pPr>
            <w:r>
              <w:t>18,920</w:t>
            </w:r>
          </w:p>
        </w:tc>
        <w:tc>
          <w:tcPr>
            <w:tcW w:w="2160" w:type="dxa"/>
          </w:tcPr>
          <w:p w14:paraId="66030E24" w14:textId="77777777" w:rsidR="00386D30" w:rsidRDefault="00000000">
            <w:pPr>
              <w:cnfStyle w:val="000000010000" w:firstRow="0" w:lastRow="0" w:firstColumn="0" w:lastColumn="0" w:oddVBand="0" w:evenVBand="0" w:oddHBand="0" w:evenHBand="1" w:firstRowFirstColumn="0" w:firstRowLastColumn="0" w:lastRowFirstColumn="0" w:lastRowLastColumn="0"/>
            </w:pPr>
            <w:r>
              <w:t>17,350</w:t>
            </w:r>
          </w:p>
        </w:tc>
        <w:tc>
          <w:tcPr>
            <w:tcW w:w="2160" w:type="dxa"/>
          </w:tcPr>
          <w:p w14:paraId="1E426973" w14:textId="77777777" w:rsidR="00386D30" w:rsidRDefault="00000000">
            <w:pPr>
              <w:cnfStyle w:val="000000010000" w:firstRow="0" w:lastRow="0" w:firstColumn="0" w:lastColumn="0" w:oddVBand="0" w:evenVBand="0" w:oddHBand="0" w:evenHBand="1" w:firstRowFirstColumn="0" w:firstRowLastColumn="0" w:lastRowFirstColumn="0" w:lastRowLastColumn="0"/>
            </w:pPr>
            <w:r>
              <w:t>20,490</w:t>
            </w:r>
          </w:p>
        </w:tc>
      </w:tr>
      <w:tr w:rsidR="00386D30" w14:paraId="26E53DB8"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4D0E6E" w14:textId="77777777" w:rsidR="00386D30" w:rsidRDefault="00000000">
            <w:r>
              <w:t>Month +3</w:t>
            </w:r>
          </w:p>
        </w:tc>
        <w:tc>
          <w:tcPr>
            <w:tcW w:w="2160" w:type="dxa"/>
          </w:tcPr>
          <w:p w14:paraId="492F53D3" w14:textId="77777777" w:rsidR="00386D30" w:rsidRDefault="00000000">
            <w:pPr>
              <w:cnfStyle w:val="000000100000" w:firstRow="0" w:lastRow="0" w:firstColumn="0" w:lastColumn="0" w:oddVBand="0" w:evenVBand="0" w:oddHBand="1" w:evenHBand="0" w:firstRowFirstColumn="0" w:firstRowLastColumn="0" w:lastRowFirstColumn="0" w:lastRowLastColumn="0"/>
            </w:pPr>
            <w:r>
              <w:t>19,380</w:t>
            </w:r>
          </w:p>
        </w:tc>
        <w:tc>
          <w:tcPr>
            <w:tcW w:w="2160" w:type="dxa"/>
          </w:tcPr>
          <w:p w14:paraId="37AF9288" w14:textId="77777777" w:rsidR="00386D30" w:rsidRDefault="00000000">
            <w:pPr>
              <w:cnfStyle w:val="000000100000" w:firstRow="0" w:lastRow="0" w:firstColumn="0" w:lastColumn="0" w:oddVBand="0" w:evenVBand="0" w:oddHBand="1" w:evenHBand="0" w:firstRowFirstColumn="0" w:firstRowLastColumn="0" w:lastRowFirstColumn="0" w:lastRowLastColumn="0"/>
            </w:pPr>
            <w:r>
              <w:t>17,520</w:t>
            </w:r>
          </w:p>
        </w:tc>
        <w:tc>
          <w:tcPr>
            <w:tcW w:w="2160" w:type="dxa"/>
          </w:tcPr>
          <w:p w14:paraId="65952CD1" w14:textId="77777777" w:rsidR="00386D30" w:rsidRDefault="00000000">
            <w:pPr>
              <w:cnfStyle w:val="000000100000" w:firstRow="0" w:lastRow="0" w:firstColumn="0" w:lastColumn="0" w:oddVBand="0" w:evenVBand="0" w:oddHBand="1" w:evenHBand="0" w:firstRowFirstColumn="0" w:firstRowLastColumn="0" w:lastRowFirstColumn="0" w:lastRowLastColumn="0"/>
            </w:pPr>
            <w:r>
              <w:t>21,240</w:t>
            </w:r>
          </w:p>
        </w:tc>
      </w:tr>
      <w:tr w:rsidR="00386D30" w14:paraId="50F8490B"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7D95FC" w14:textId="77777777" w:rsidR="00386D30" w:rsidRDefault="00000000">
            <w:r>
              <w:t>Month +4</w:t>
            </w:r>
          </w:p>
        </w:tc>
        <w:tc>
          <w:tcPr>
            <w:tcW w:w="2160" w:type="dxa"/>
          </w:tcPr>
          <w:p w14:paraId="43EFABBB" w14:textId="77777777" w:rsidR="00386D30" w:rsidRDefault="00000000">
            <w:pPr>
              <w:cnfStyle w:val="000000010000" w:firstRow="0" w:lastRow="0" w:firstColumn="0" w:lastColumn="0" w:oddVBand="0" w:evenVBand="0" w:oddHBand="0" w:evenHBand="1" w:firstRowFirstColumn="0" w:firstRowLastColumn="0" w:lastRowFirstColumn="0" w:lastRowLastColumn="0"/>
            </w:pPr>
            <w:r>
              <w:t>19,850</w:t>
            </w:r>
          </w:p>
        </w:tc>
        <w:tc>
          <w:tcPr>
            <w:tcW w:w="2160" w:type="dxa"/>
          </w:tcPr>
          <w:p w14:paraId="5C9BEDD6" w14:textId="77777777" w:rsidR="00386D30" w:rsidRDefault="00000000">
            <w:pPr>
              <w:cnfStyle w:val="000000010000" w:firstRow="0" w:lastRow="0" w:firstColumn="0" w:lastColumn="0" w:oddVBand="0" w:evenVBand="0" w:oddHBand="0" w:evenHBand="1" w:firstRowFirstColumn="0" w:firstRowLastColumn="0" w:lastRowFirstColumn="0" w:lastRowLastColumn="0"/>
            </w:pPr>
            <w:r>
              <w:t>17,680</w:t>
            </w:r>
          </w:p>
        </w:tc>
        <w:tc>
          <w:tcPr>
            <w:tcW w:w="2160" w:type="dxa"/>
          </w:tcPr>
          <w:p w14:paraId="650020D4" w14:textId="77777777" w:rsidR="00386D30" w:rsidRDefault="00000000">
            <w:pPr>
              <w:cnfStyle w:val="000000010000" w:firstRow="0" w:lastRow="0" w:firstColumn="0" w:lastColumn="0" w:oddVBand="0" w:evenVBand="0" w:oddHBand="0" w:evenHBand="1" w:firstRowFirstColumn="0" w:firstRowLastColumn="0" w:lastRowFirstColumn="0" w:lastRowLastColumn="0"/>
            </w:pPr>
            <w:r>
              <w:t>22,020</w:t>
            </w:r>
          </w:p>
        </w:tc>
      </w:tr>
      <w:tr w:rsidR="00386D30" w14:paraId="6B848506"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1717A4" w14:textId="77777777" w:rsidR="00386D30" w:rsidRDefault="00000000">
            <w:r>
              <w:t>Month +5</w:t>
            </w:r>
          </w:p>
        </w:tc>
        <w:tc>
          <w:tcPr>
            <w:tcW w:w="2160" w:type="dxa"/>
          </w:tcPr>
          <w:p w14:paraId="70F2D6F3" w14:textId="77777777" w:rsidR="00386D30" w:rsidRDefault="00000000">
            <w:pPr>
              <w:cnfStyle w:val="000000100000" w:firstRow="0" w:lastRow="0" w:firstColumn="0" w:lastColumn="0" w:oddVBand="0" w:evenVBand="0" w:oddHBand="1" w:evenHBand="0" w:firstRowFirstColumn="0" w:firstRowLastColumn="0" w:lastRowFirstColumn="0" w:lastRowLastColumn="0"/>
            </w:pPr>
            <w:r>
              <w:t>20,320</w:t>
            </w:r>
          </w:p>
        </w:tc>
        <w:tc>
          <w:tcPr>
            <w:tcW w:w="2160" w:type="dxa"/>
          </w:tcPr>
          <w:p w14:paraId="2F2D2974" w14:textId="77777777" w:rsidR="00386D30" w:rsidRDefault="00000000">
            <w:pPr>
              <w:cnfStyle w:val="000000100000" w:firstRow="0" w:lastRow="0" w:firstColumn="0" w:lastColumn="0" w:oddVBand="0" w:evenVBand="0" w:oddHBand="1" w:evenHBand="0" w:firstRowFirstColumn="0" w:firstRowLastColumn="0" w:lastRowFirstColumn="0" w:lastRowLastColumn="0"/>
            </w:pPr>
            <w:r>
              <w:t>17,850</w:t>
            </w:r>
          </w:p>
        </w:tc>
        <w:tc>
          <w:tcPr>
            <w:tcW w:w="2160" w:type="dxa"/>
          </w:tcPr>
          <w:p w14:paraId="729C26AC" w14:textId="77777777" w:rsidR="00386D30" w:rsidRDefault="00000000">
            <w:pPr>
              <w:cnfStyle w:val="000000100000" w:firstRow="0" w:lastRow="0" w:firstColumn="0" w:lastColumn="0" w:oddVBand="0" w:evenVBand="0" w:oddHBand="1" w:evenHBand="0" w:firstRowFirstColumn="0" w:firstRowLastColumn="0" w:lastRowFirstColumn="0" w:lastRowLastColumn="0"/>
            </w:pPr>
            <w:r>
              <w:t>22,790</w:t>
            </w:r>
          </w:p>
        </w:tc>
      </w:tr>
      <w:tr w:rsidR="00386D30" w14:paraId="7901FB40"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F030CA" w14:textId="77777777" w:rsidR="00386D30" w:rsidRDefault="00000000">
            <w:r>
              <w:t>Month +6</w:t>
            </w:r>
          </w:p>
        </w:tc>
        <w:tc>
          <w:tcPr>
            <w:tcW w:w="2160" w:type="dxa"/>
          </w:tcPr>
          <w:p w14:paraId="7A8C87BA" w14:textId="77777777" w:rsidR="00386D30" w:rsidRDefault="00000000">
            <w:pPr>
              <w:cnfStyle w:val="000000010000" w:firstRow="0" w:lastRow="0" w:firstColumn="0" w:lastColumn="0" w:oddVBand="0" w:evenVBand="0" w:oddHBand="0" w:evenHBand="1" w:firstRowFirstColumn="0" w:firstRowLastColumn="0" w:lastRowFirstColumn="0" w:lastRowLastColumn="0"/>
            </w:pPr>
            <w:r>
              <w:t>20,790</w:t>
            </w:r>
          </w:p>
        </w:tc>
        <w:tc>
          <w:tcPr>
            <w:tcW w:w="2160" w:type="dxa"/>
          </w:tcPr>
          <w:p w14:paraId="7C3FDC4F" w14:textId="77777777" w:rsidR="00386D30" w:rsidRDefault="00000000">
            <w:pPr>
              <w:cnfStyle w:val="000000010000" w:firstRow="0" w:lastRow="0" w:firstColumn="0" w:lastColumn="0" w:oddVBand="0" w:evenVBand="0" w:oddHBand="0" w:evenHBand="1" w:firstRowFirstColumn="0" w:firstRowLastColumn="0" w:lastRowFirstColumn="0" w:lastRowLastColumn="0"/>
            </w:pPr>
            <w:r>
              <w:t>18,020</w:t>
            </w:r>
          </w:p>
        </w:tc>
        <w:tc>
          <w:tcPr>
            <w:tcW w:w="2160" w:type="dxa"/>
          </w:tcPr>
          <w:p w14:paraId="38F3B8B6" w14:textId="77777777" w:rsidR="00386D30" w:rsidRDefault="00000000">
            <w:pPr>
              <w:cnfStyle w:val="000000010000" w:firstRow="0" w:lastRow="0" w:firstColumn="0" w:lastColumn="0" w:oddVBand="0" w:evenVBand="0" w:oddHBand="0" w:evenHBand="1" w:firstRowFirstColumn="0" w:firstRowLastColumn="0" w:lastRowFirstColumn="0" w:lastRowLastColumn="0"/>
            </w:pPr>
            <w:r>
              <w:t>23,560</w:t>
            </w:r>
          </w:p>
        </w:tc>
      </w:tr>
    </w:tbl>
    <w:p w14:paraId="163E9D8E" w14:textId="77777777" w:rsidR="00E312C3" w:rsidRDefault="00E312C3">
      <w:pPr>
        <w:pStyle w:val="Heading2"/>
        <w:rPr>
          <w:color w:val="2C3E50"/>
        </w:rPr>
      </w:pPr>
    </w:p>
    <w:p w14:paraId="5C10BDFC" w14:textId="07244A2F" w:rsidR="00386D30" w:rsidRPr="00E312C3" w:rsidRDefault="00000000">
      <w:pPr>
        <w:pStyle w:val="Heading2"/>
        <w:rPr>
          <w:color w:val="2C3E50"/>
        </w:rPr>
      </w:pPr>
      <w:r>
        <w:rPr>
          <w:color w:val="2C3E50"/>
        </w:rPr>
        <w:t>4</w:t>
      </w:r>
      <w:r w:rsidR="00E312C3">
        <w:rPr>
          <w:color w:val="2C3E50"/>
        </w:rPr>
        <w:t>.</w:t>
      </w:r>
      <w:r>
        <w:rPr>
          <w:color w:val="2C3E50"/>
        </w:rPr>
        <w:t>3 Model Diagnostics &amp; Validation</w:t>
      </w:r>
    </w:p>
    <w:p w14:paraId="09555094" w14:textId="77777777" w:rsidR="00386D30" w:rsidRDefault="00000000">
      <w:r>
        <w:t>Residual analysis confirms the adequacy of the ARIMA(1,1,1) specification. The Ljung-Box test (p=0.425) indicates residuals behave as white noise with no autocorrelation, validating the model. Residual plots show approximately normal distribution with mean zero and constant variance, satisfying key assumptions for valid inference.</w:t>
      </w:r>
    </w:p>
    <w:p w14:paraId="2901040D" w14:textId="77777777" w:rsidR="00386D30" w:rsidRDefault="00000000">
      <w:r>
        <w:br w:type="page"/>
      </w:r>
    </w:p>
    <w:p w14:paraId="270528BD" w14:textId="77777777" w:rsidR="00386D30" w:rsidRDefault="00000000">
      <w:pPr>
        <w:pStyle w:val="Heading1"/>
      </w:pPr>
      <w:r>
        <w:t>5. DETAILED FINDINGS &amp; BUSINESS IMPLICATIONS</w:t>
      </w:r>
    </w:p>
    <w:p w14:paraId="0BF88F1D" w14:textId="77777777" w:rsidR="00386D30" w:rsidRDefault="00000000">
      <w:pPr>
        <w:pStyle w:val="Heading2"/>
      </w:pPr>
      <w:r>
        <w:rPr>
          <w:color w:val="2C3E50"/>
        </w:rPr>
        <w:t>5.1 Growth Rate Analysis</w:t>
      </w:r>
    </w:p>
    <w:p w14:paraId="26F410E8" w14:textId="7B2F1810" w:rsidR="00E312C3" w:rsidRPr="00E312C3" w:rsidRDefault="00000000" w:rsidP="00E312C3">
      <w:r>
        <w:t>The regression analysis quantifies growth rates across product categories. Phones and Chairs emerge as growth leaders with monthly increments of $450.25 and $385.50 respectively. These rates translate to annual growth of approximately $5,403 and $4,626, providing concrete targets for revenue planning and inventory management.</w:t>
      </w:r>
    </w:p>
    <w:p w14:paraId="119C5DF0" w14:textId="56A93DD4" w:rsidR="00386D30" w:rsidRDefault="00000000" w:rsidP="00E312C3">
      <w:pPr>
        <w:pStyle w:val="ListBullet"/>
      </w:pPr>
      <w:r w:rsidRPr="00E312C3">
        <w:rPr>
          <w:b/>
        </w:rPr>
        <w:t>Table 5.1: Annualized Growth Projections</w:t>
      </w:r>
    </w:p>
    <w:tbl>
      <w:tblPr>
        <w:tblStyle w:val="LightGrid-Accent1"/>
        <w:tblW w:w="0" w:type="auto"/>
        <w:tblLook w:val="04A0" w:firstRow="1" w:lastRow="0" w:firstColumn="1" w:lastColumn="0" w:noHBand="0" w:noVBand="1"/>
      </w:tblPr>
      <w:tblGrid>
        <w:gridCol w:w="2160"/>
        <w:gridCol w:w="2160"/>
        <w:gridCol w:w="2160"/>
        <w:gridCol w:w="2160"/>
      </w:tblGrid>
      <w:tr w:rsidR="00386D30" w14:paraId="057C6B48" w14:textId="77777777" w:rsidTr="0038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1F3F"/>
          </w:tcPr>
          <w:p w14:paraId="36CC6CEC" w14:textId="77777777" w:rsidR="00386D30" w:rsidRDefault="00000000">
            <w:r>
              <w:rPr>
                <w:color w:val="FFFFFF"/>
              </w:rPr>
              <w:t>Sub-Category</w:t>
            </w:r>
          </w:p>
        </w:tc>
        <w:tc>
          <w:tcPr>
            <w:tcW w:w="2160" w:type="dxa"/>
            <w:shd w:val="clear" w:color="auto" w:fill="001F3F"/>
          </w:tcPr>
          <w:p w14:paraId="5B7B5E11"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Monthly Growth</w:t>
            </w:r>
          </w:p>
        </w:tc>
        <w:tc>
          <w:tcPr>
            <w:tcW w:w="2160" w:type="dxa"/>
            <w:shd w:val="clear" w:color="auto" w:fill="001F3F"/>
          </w:tcPr>
          <w:p w14:paraId="26D4A531"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Annual Growth Rate</w:t>
            </w:r>
          </w:p>
        </w:tc>
        <w:tc>
          <w:tcPr>
            <w:tcW w:w="2160" w:type="dxa"/>
            <w:shd w:val="clear" w:color="auto" w:fill="001F3F"/>
          </w:tcPr>
          <w:p w14:paraId="46D21BAC"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3-Year Projection</w:t>
            </w:r>
          </w:p>
        </w:tc>
      </w:tr>
      <w:tr w:rsidR="00386D30" w14:paraId="4B2D9BA3"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2C5BD0" w14:textId="77777777" w:rsidR="00386D30" w:rsidRDefault="00000000">
            <w:r>
              <w:t>Phones</w:t>
            </w:r>
          </w:p>
        </w:tc>
        <w:tc>
          <w:tcPr>
            <w:tcW w:w="2160" w:type="dxa"/>
          </w:tcPr>
          <w:p w14:paraId="6DCAE5F2" w14:textId="77777777" w:rsidR="00386D30" w:rsidRDefault="00000000">
            <w:pPr>
              <w:cnfStyle w:val="000000100000" w:firstRow="0" w:lastRow="0" w:firstColumn="0" w:lastColumn="0" w:oddVBand="0" w:evenVBand="0" w:oddHBand="1" w:evenHBand="0" w:firstRowFirstColumn="0" w:firstRowLastColumn="0" w:lastRowFirstColumn="0" w:lastRowLastColumn="0"/>
            </w:pPr>
            <w:r>
              <w:t>$450.25</w:t>
            </w:r>
          </w:p>
        </w:tc>
        <w:tc>
          <w:tcPr>
            <w:tcW w:w="2160" w:type="dxa"/>
          </w:tcPr>
          <w:p w14:paraId="1BE45546" w14:textId="77777777" w:rsidR="00386D30" w:rsidRDefault="00000000">
            <w:pPr>
              <w:cnfStyle w:val="000000100000" w:firstRow="0" w:lastRow="0" w:firstColumn="0" w:lastColumn="0" w:oddVBand="0" w:evenVBand="0" w:oddHBand="1" w:evenHBand="0" w:firstRowFirstColumn="0" w:firstRowLastColumn="0" w:lastRowFirstColumn="0" w:lastRowLastColumn="0"/>
            </w:pPr>
            <w:r>
              <w:t>$5,403</w:t>
            </w:r>
          </w:p>
        </w:tc>
        <w:tc>
          <w:tcPr>
            <w:tcW w:w="2160" w:type="dxa"/>
          </w:tcPr>
          <w:p w14:paraId="21A828B0" w14:textId="77777777" w:rsidR="00386D30" w:rsidRDefault="00000000">
            <w:pPr>
              <w:cnfStyle w:val="000000100000" w:firstRow="0" w:lastRow="0" w:firstColumn="0" w:lastColumn="0" w:oddVBand="0" w:evenVBand="0" w:oddHBand="1" w:evenHBand="0" w:firstRowFirstColumn="0" w:firstRowLastColumn="0" w:lastRowFirstColumn="0" w:lastRowLastColumn="0"/>
            </w:pPr>
            <w:r>
              <w:t>$21,612</w:t>
            </w:r>
          </w:p>
        </w:tc>
      </w:tr>
      <w:tr w:rsidR="00386D30" w14:paraId="59F576DB"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B8A2CB" w14:textId="77777777" w:rsidR="00386D30" w:rsidRDefault="00000000">
            <w:r>
              <w:t>Chairs</w:t>
            </w:r>
          </w:p>
        </w:tc>
        <w:tc>
          <w:tcPr>
            <w:tcW w:w="2160" w:type="dxa"/>
          </w:tcPr>
          <w:p w14:paraId="594A12C5" w14:textId="77777777" w:rsidR="00386D30" w:rsidRDefault="00000000">
            <w:pPr>
              <w:cnfStyle w:val="000000010000" w:firstRow="0" w:lastRow="0" w:firstColumn="0" w:lastColumn="0" w:oddVBand="0" w:evenVBand="0" w:oddHBand="0" w:evenHBand="1" w:firstRowFirstColumn="0" w:firstRowLastColumn="0" w:lastRowFirstColumn="0" w:lastRowLastColumn="0"/>
            </w:pPr>
            <w:r>
              <w:t>$385.50</w:t>
            </w:r>
          </w:p>
        </w:tc>
        <w:tc>
          <w:tcPr>
            <w:tcW w:w="2160" w:type="dxa"/>
          </w:tcPr>
          <w:p w14:paraId="09BF0548" w14:textId="77777777" w:rsidR="00386D30" w:rsidRDefault="00000000">
            <w:pPr>
              <w:cnfStyle w:val="000000010000" w:firstRow="0" w:lastRow="0" w:firstColumn="0" w:lastColumn="0" w:oddVBand="0" w:evenVBand="0" w:oddHBand="0" w:evenHBand="1" w:firstRowFirstColumn="0" w:firstRowLastColumn="0" w:lastRowFirstColumn="0" w:lastRowLastColumn="0"/>
            </w:pPr>
            <w:r>
              <w:t>$4,626</w:t>
            </w:r>
          </w:p>
        </w:tc>
        <w:tc>
          <w:tcPr>
            <w:tcW w:w="2160" w:type="dxa"/>
          </w:tcPr>
          <w:p w14:paraId="003A5C59" w14:textId="77777777" w:rsidR="00386D30" w:rsidRDefault="00000000">
            <w:pPr>
              <w:cnfStyle w:val="000000010000" w:firstRow="0" w:lastRow="0" w:firstColumn="0" w:lastColumn="0" w:oddVBand="0" w:evenVBand="0" w:oddHBand="0" w:evenHBand="1" w:firstRowFirstColumn="0" w:firstRowLastColumn="0" w:lastRowFirstColumn="0" w:lastRowLastColumn="0"/>
            </w:pPr>
            <w:r>
              <w:t>$18,504</w:t>
            </w:r>
          </w:p>
        </w:tc>
      </w:tr>
      <w:tr w:rsidR="00386D30" w14:paraId="78A3D942"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DD9610" w14:textId="77777777" w:rsidR="00386D30" w:rsidRDefault="00000000">
            <w:r>
              <w:t>Tables</w:t>
            </w:r>
          </w:p>
        </w:tc>
        <w:tc>
          <w:tcPr>
            <w:tcW w:w="2160" w:type="dxa"/>
          </w:tcPr>
          <w:p w14:paraId="27D2B842" w14:textId="77777777" w:rsidR="00386D30" w:rsidRDefault="00000000">
            <w:pPr>
              <w:cnfStyle w:val="000000100000" w:firstRow="0" w:lastRow="0" w:firstColumn="0" w:lastColumn="0" w:oddVBand="0" w:evenVBand="0" w:oddHBand="1" w:evenHBand="0" w:firstRowFirstColumn="0" w:firstRowLastColumn="0" w:lastRowFirstColumn="0" w:lastRowLastColumn="0"/>
            </w:pPr>
            <w:r>
              <w:t>$325.75</w:t>
            </w:r>
          </w:p>
        </w:tc>
        <w:tc>
          <w:tcPr>
            <w:tcW w:w="2160" w:type="dxa"/>
          </w:tcPr>
          <w:p w14:paraId="59F38AA6" w14:textId="77777777" w:rsidR="00386D30" w:rsidRDefault="00000000">
            <w:pPr>
              <w:cnfStyle w:val="000000100000" w:firstRow="0" w:lastRow="0" w:firstColumn="0" w:lastColumn="0" w:oddVBand="0" w:evenVBand="0" w:oddHBand="1" w:evenHBand="0" w:firstRowFirstColumn="0" w:firstRowLastColumn="0" w:lastRowFirstColumn="0" w:lastRowLastColumn="0"/>
            </w:pPr>
            <w:r>
              <w:t>$3,909</w:t>
            </w:r>
          </w:p>
        </w:tc>
        <w:tc>
          <w:tcPr>
            <w:tcW w:w="2160" w:type="dxa"/>
          </w:tcPr>
          <w:p w14:paraId="6F1AF7DD" w14:textId="77777777" w:rsidR="00386D30" w:rsidRDefault="00000000">
            <w:pPr>
              <w:cnfStyle w:val="000000100000" w:firstRow="0" w:lastRow="0" w:firstColumn="0" w:lastColumn="0" w:oddVBand="0" w:evenVBand="0" w:oddHBand="1" w:evenHBand="0" w:firstRowFirstColumn="0" w:firstRowLastColumn="0" w:lastRowFirstColumn="0" w:lastRowLastColumn="0"/>
            </w:pPr>
            <w:r>
              <w:t>$15,636</w:t>
            </w:r>
          </w:p>
        </w:tc>
      </w:tr>
      <w:tr w:rsidR="00386D30" w14:paraId="1AD960F4"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D2C278" w14:textId="77777777" w:rsidR="00386D30" w:rsidRDefault="00000000">
            <w:r>
              <w:t>Binders</w:t>
            </w:r>
          </w:p>
        </w:tc>
        <w:tc>
          <w:tcPr>
            <w:tcW w:w="2160" w:type="dxa"/>
          </w:tcPr>
          <w:p w14:paraId="707B5B6B" w14:textId="77777777" w:rsidR="00386D30" w:rsidRDefault="00000000">
            <w:pPr>
              <w:cnfStyle w:val="000000010000" w:firstRow="0" w:lastRow="0" w:firstColumn="0" w:lastColumn="0" w:oddVBand="0" w:evenVBand="0" w:oddHBand="0" w:evenHBand="1" w:firstRowFirstColumn="0" w:firstRowLastColumn="0" w:lastRowFirstColumn="0" w:lastRowLastColumn="0"/>
            </w:pPr>
            <w:r>
              <w:t>$280.30</w:t>
            </w:r>
          </w:p>
        </w:tc>
        <w:tc>
          <w:tcPr>
            <w:tcW w:w="2160" w:type="dxa"/>
          </w:tcPr>
          <w:p w14:paraId="476F124E" w14:textId="77777777" w:rsidR="00386D30" w:rsidRDefault="00000000">
            <w:pPr>
              <w:cnfStyle w:val="000000010000" w:firstRow="0" w:lastRow="0" w:firstColumn="0" w:lastColumn="0" w:oddVBand="0" w:evenVBand="0" w:oddHBand="0" w:evenHBand="1" w:firstRowFirstColumn="0" w:firstRowLastColumn="0" w:lastRowFirstColumn="0" w:lastRowLastColumn="0"/>
            </w:pPr>
            <w:r>
              <w:t>$3,364</w:t>
            </w:r>
          </w:p>
        </w:tc>
        <w:tc>
          <w:tcPr>
            <w:tcW w:w="2160" w:type="dxa"/>
          </w:tcPr>
          <w:p w14:paraId="0B1E0CB0" w14:textId="77777777" w:rsidR="00386D30" w:rsidRDefault="00000000">
            <w:pPr>
              <w:cnfStyle w:val="000000010000" w:firstRow="0" w:lastRow="0" w:firstColumn="0" w:lastColumn="0" w:oddVBand="0" w:evenVBand="0" w:oddHBand="0" w:evenHBand="1" w:firstRowFirstColumn="0" w:firstRowLastColumn="0" w:lastRowFirstColumn="0" w:lastRowLastColumn="0"/>
            </w:pPr>
            <w:r>
              <w:t>$13,456</w:t>
            </w:r>
          </w:p>
        </w:tc>
      </w:tr>
    </w:tbl>
    <w:p w14:paraId="423F8D10" w14:textId="77777777" w:rsidR="00E312C3" w:rsidRDefault="00E312C3">
      <w:pPr>
        <w:pStyle w:val="Heading2"/>
        <w:rPr>
          <w:color w:val="2C3E50"/>
        </w:rPr>
      </w:pPr>
    </w:p>
    <w:p w14:paraId="20694024" w14:textId="498B4187" w:rsidR="00386D30" w:rsidRDefault="00000000">
      <w:pPr>
        <w:pStyle w:val="Heading2"/>
      </w:pPr>
      <w:r>
        <w:rPr>
          <w:color w:val="2C3E50"/>
        </w:rPr>
        <w:t>5.2 Seasonal Planning Implications</w:t>
      </w:r>
    </w:p>
    <w:p w14:paraId="00CE7435" w14:textId="77777777" w:rsidR="00386D30" w:rsidRDefault="00000000">
      <w:r>
        <w:t>The identified 12-month seasonality with Q4 peaks suggests inventory should be ramped up in September-October to meet anticipated year-end demand. Conversely, summer months (June-August) warrant reduced inventory levels to minimize carrying costs. The secondary September peak aligns with academic calendar events, suggesting promotional opportunities around back-to-school periods.</w:t>
      </w:r>
    </w:p>
    <w:p w14:paraId="3E9DAC06" w14:textId="77777777" w:rsidR="00E312C3" w:rsidRDefault="00E312C3">
      <w:pPr>
        <w:pStyle w:val="Heading2"/>
        <w:rPr>
          <w:color w:val="2C3E50"/>
        </w:rPr>
      </w:pPr>
    </w:p>
    <w:p w14:paraId="0B4CC18A" w14:textId="6F94E838" w:rsidR="00386D30" w:rsidRDefault="00000000">
      <w:pPr>
        <w:pStyle w:val="Heading2"/>
      </w:pPr>
      <w:r>
        <w:rPr>
          <w:color w:val="2C3E50"/>
        </w:rPr>
        <w:t>5.3 Forecast Confidence &amp; Risk Assessment</w:t>
      </w:r>
    </w:p>
    <w:p w14:paraId="1AA98C06" w14:textId="77777777" w:rsidR="00386D30" w:rsidRDefault="00000000">
      <w:r>
        <w:t>The confidence intervals around ARIMA forecasts widen as projection horizon extends, reflecting increasing uncertainty. The 95% confidence intervals remain relatively narrow (approximately 10% of forecast values) for the six-month horizon, indicating reliable short-term forecasting capability. Beyond six months, forecast intervals widen significantly, requiring combination with qualitative judgment for longer-term planning.</w:t>
      </w:r>
    </w:p>
    <w:p w14:paraId="756D8CB1" w14:textId="77777777" w:rsidR="00386D30" w:rsidRDefault="00000000">
      <w:r>
        <w:br w:type="page"/>
      </w:r>
    </w:p>
    <w:p w14:paraId="06BB67F0" w14:textId="77777777" w:rsidR="00386D30" w:rsidRDefault="00000000">
      <w:pPr>
        <w:pStyle w:val="Heading1"/>
      </w:pPr>
      <w:r>
        <w:t>6. CONCLUSIONS &amp; RECOMMENDATIONS</w:t>
      </w:r>
    </w:p>
    <w:p w14:paraId="5E8F2732" w14:textId="77777777" w:rsidR="00386D30" w:rsidRDefault="00000000">
      <w:pPr>
        <w:pStyle w:val="Heading2"/>
      </w:pPr>
      <w:r>
        <w:rPr>
          <w:color w:val="2C3E50"/>
        </w:rPr>
        <w:t>6.1 Summary of Key Findings</w:t>
      </w:r>
    </w:p>
    <w:p w14:paraId="34DF8E2B" w14:textId="77777777" w:rsidR="00386D30" w:rsidRDefault="00000000">
      <w:r>
        <w:t>This analysis demonstrates that sales patterns follow systematic, predictable trajectories. Regression analysis confirms positive growth trends across major product categories with high statistical validity (R² &gt; 0.70). Time series decomposition reveals strong seasonality with 12-month cycles and consistent upward trends. ARIMA forecasting provides quantitatively sound predictions with reliable confidence bounds for six-month horizons.</w:t>
      </w:r>
    </w:p>
    <w:p w14:paraId="7E60192B" w14:textId="77777777" w:rsidR="00E312C3" w:rsidRDefault="00E312C3">
      <w:pPr>
        <w:pStyle w:val="Heading2"/>
        <w:rPr>
          <w:color w:val="2C3E50"/>
        </w:rPr>
      </w:pPr>
    </w:p>
    <w:p w14:paraId="7F5DDBC3" w14:textId="030F55ED" w:rsidR="00386D30" w:rsidRDefault="00000000">
      <w:pPr>
        <w:pStyle w:val="Heading2"/>
      </w:pPr>
      <w:r>
        <w:rPr>
          <w:color w:val="2C3E50"/>
        </w:rPr>
        <w:t>6.2 Statistical Confidence</w:t>
      </w:r>
    </w:p>
    <w:p w14:paraId="4EC4C75E" w14:textId="77777777" w:rsidR="00386D30" w:rsidRDefault="00000000">
      <w:r>
        <w:t>All models demonstrate strong statistical validity. Regression R² values ranging from 0.71 to 0.82 indicate that observed trends explain 71-82% of sales variance. The ARIMA model passes diagnostic tests with white noise residuals and stable forecasts. These metrics provide high confidence in the analytical conclusions and recommendations.</w:t>
      </w:r>
    </w:p>
    <w:p w14:paraId="284CC57F" w14:textId="77777777" w:rsidR="00E312C3" w:rsidRDefault="00E312C3">
      <w:pPr>
        <w:pStyle w:val="Heading2"/>
        <w:rPr>
          <w:color w:val="2C3E50"/>
        </w:rPr>
      </w:pPr>
    </w:p>
    <w:p w14:paraId="6E2140FB" w14:textId="47B2900B" w:rsidR="00386D30" w:rsidRDefault="00000000">
      <w:pPr>
        <w:pStyle w:val="Heading2"/>
      </w:pPr>
      <w:r>
        <w:rPr>
          <w:color w:val="2C3E50"/>
        </w:rPr>
        <w:t>6.3 Strategic Recommendations</w:t>
      </w:r>
    </w:p>
    <w:p w14:paraId="0CC6C33D" w14:textId="77777777" w:rsidR="00386D30" w:rsidRDefault="00000000">
      <w:pPr>
        <w:pStyle w:val="ListBullet"/>
      </w:pPr>
      <w:r>
        <w:t>Implement dynamic inventory management aligned with identified seasonal patterns, increasing stock by 20-30% in August-September for Q4 peaks</w:t>
      </w:r>
    </w:p>
    <w:p w14:paraId="403CBDEC" w14:textId="77777777" w:rsidR="00386D30" w:rsidRDefault="00000000">
      <w:pPr>
        <w:pStyle w:val="ListBullet"/>
      </w:pPr>
      <w:r>
        <w:t>Prioritize marketing and sales efforts for high-growth categories (Phones, Chairs) where growth rates exceed $350 monthly</w:t>
      </w:r>
    </w:p>
    <w:p w14:paraId="754EDA80" w14:textId="77777777" w:rsidR="00386D30" w:rsidRDefault="00000000">
      <w:pPr>
        <w:pStyle w:val="ListBullet"/>
      </w:pPr>
      <w:r>
        <w:t>Utilize ARIMA forecasts for quarterly business planning, adjusting thresholds monthly as new data becomes available</w:t>
      </w:r>
    </w:p>
    <w:p w14:paraId="6D21638C" w14:textId="77777777" w:rsidR="00386D30" w:rsidRDefault="00000000">
      <w:pPr>
        <w:pStyle w:val="ListBullet"/>
      </w:pPr>
      <w:r>
        <w:t>Develop category-specific promotional calendars aligned with seasonal patterns, particularly for summer months requiring demand stimulation</w:t>
      </w:r>
    </w:p>
    <w:p w14:paraId="7C49A4FB" w14:textId="77777777" w:rsidR="00E312C3" w:rsidRDefault="00E312C3">
      <w:pPr>
        <w:pStyle w:val="Heading2"/>
        <w:rPr>
          <w:color w:val="2C3E50"/>
        </w:rPr>
      </w:pPr>
    </w:p>
    <w:p w14:paraId="34F4E639" w14:textId="24416843" w:rsidR="00386D30" w:rsidRDefault="00000000">
      <w:pPr>
        <w:pStyle w:val="Heading2"/>
      </w:pPr>
      <w:r>
        <w:rPr>
          <w:color w:val="2C3E50"/>
        </w:rPr>
        <w:t>6.4 Future Analytical Directions</w:t>
      </w:r>
    </w:p>
    <w:p w14:paraId="3230F5FE" w14:textId="77777777" w:rsidR="00386D30" w:rsidRDefault="00000000">
      <w:r>
        <w:t>This analysis provides a robust foundation for further investigations including multivariate regression incorporating external variables, ARIMAX models incorporating leading indicators, and customer segmentation analysis revealing demographic drivers of category preferences.</w:t>
      </w:r>
    </w:p>
    <w:p w14:paraId="1B59F096" w14:textId="77777777" w:rsidR="00386D30" w:rsidRDefault="00000000">
      <w:r>
        <w:br w:type="page"/>
      </w:r>
    </w:p>
    <w:p w14:paraId="646F5FC4" w14:textId="77777777" w:rsidR="00386D30" w:rsidRDefault="00000000">
      <w:pPr>
        <w:pStyle w:val="Heading1"/>
      </w:pPr>
      <w:r>
        <w:t>7. TECHNICAL METHODOLOGY</w:t>
      </w:r>
    </w:p>
    <w:p w14:paraId="1FB9C1AA" w14:textId="77777777" w:rsidR="00386D30" w:rsidRDefault="00000000">
      <w:pPr>
        <w:pStyle w:val="Heading2"/>
      </w:pPr>
      <w:r>
        <w:rPr>
          <w:color w:val="2C3E50"/>
        </w:rPr>
        <w:t>7.1 Regression Analysis Method</w:t>
      </w:r>
    </w:p>
    <w:p w14:paraId="344759F8" w14:textId="77777777" w:rsidR="00386D30" w:rsidRDefault="00000000">
      <w:r>
        <w:t xml:space="preserve">Ordinary Least Squares (OLS) regression was employed to estimate linear relationships between month index and sales values. For each sub-category, 72 monthly observations (6 years × 12 months) were fitted to the model </w:t>
      </w:r>
      <w:proofErr w:type="spellStart"/>
      <w:r>
        <w:t>Sales_t</w:t>
      </w:r>
      <w:proofErr w:type="spellEnd"/>
      <w:r>
        <w:t xml:space="preserve"> = β₀ + β₁×t + </w:t>
      </w:r>
      <w:proofErr w:type="spellStart"/>
      <w:r>
        <w:t>ε_t</w:t>
      </w:r>
      <w:proofErr w:type="spellEnd"/>
      <w:r>
        <w:t>. Model adequacy was assessed through R² (coefficient of determination) and visual residual diagnostics.</w:t>
      </w:r>
    </w:p>
    <w:p w14:paraId="6C296960" w14:textId="77777777" w:rsidR="00E312C3" w:rsidRDefault="00E312C3">
      <w:pPr>
        <w:pStyle w:val="Heading2"/>
        <w:rPr>
          <w:color w:val="2C3E50"/>
        </w:rPr>
      </w:pPr>
    </w:p>
    <w:p w14:paraId="30535650" w14:textId="73B1196D" w:rsidR="00386D30" w:rsidRDefault="00000000">
      <w:pPr>
        <w:pStyle w:val="Heading2"/>
      </w:pPr>
      <w:r>
        <w:rPr>
          <w:color w:val="2C3E50"/>
        </w:rPr>
        <w:t>7.2 Time Series Decomposition</w:t>
      </w:r>
    </w:p>
    <w:p w14:paraId="0822FF07" w14:textId="77777777" w:rsidR="00386D30" w:rsidRDefault="00000000">
      <w:r>
        <w:t xml:space="preserve">Classical additive decomposition was applied assuming </w:t>
      </w:r>
      <w:proofErr w:type="spellStart"/>
      <w:r>
        <w:t>Sales_t</w:t>
      </w:r>
      <w:proofErr w:type="spellEnd"/>
      <w:r>
        <w:t xml:space="preserve"> = </w:t>
      </w:r>
      <w:proofErr w:type="spellStart"/>
      <w:r>
        <w:t>Trend_t</w:t>
      </w:r>
      <w:proofErr w:type="spellEnd"/>
      <w:r>
        <w:t xml:space="preserve"> + </w:t>
      </w:r>
      <w:proofErr w:type="spellStart"/>
      <w:r>
        <w:t>Seasonal_t</w:t>
      </w:r>
      <w:proofErr w:type="spellEnd"/>
      <w:r>
        <w:t xml:space="preserve"> + </w:t>
      </w:r>
      <w:proofErr w:type="spellStart"/>
      <w:r>
        <w:t>Residual_t</w:t>
      </w:r>
      <w:proofErr w:type="spellEnd"/>
      <w:r>
        <w:t xml:space="preserve"> structure. A 12-month moving average extracted the trend component, seasonal components were calculated as average deviations by month, and residuals represent unexplained variation. This method requires complete data with no missing values.</w:t>
      </w:r>
    </w:p>
    <w:p w14:paraId="56EBE4FB" w14:textId="77777777" w:rsidR="00E312C3" w:rsidRDefault="00E312C3">
      <w:pPr>
        <w:pStyle w:val="Heading2"/>
        <w:rPr>
          <w:color w:val="2C3E50"/>
        </w:rPr>
      </w:pPr>
    </w:p>
    <w:p w14:paraId="419E595A" w14:textId="0BBC6E9B" w:rsidR="00386D30" w:rsidRDefault="00000000">
      <w:pPr>
        <w:pStyle w:val="Heading2"/>
      </w:pPr>
      <w:r>
        <w:rPr>
          <w:color w:val="2C3E50"/>
        </w:rPr>
        <w:t>7.3 ARIMA Model Development</w:t>
      </w:r>
    </w:p>
    <w:p w14:paraId="72D6B92B" w14:textId="77777777" w:rsidR="00386D30" w:rsidRDefault="00000000">
      <w:r>
        <w:t>ARIMA(</w:t>
      </w:r>
      <w:proofErr w:type="spellStart"/>
      <w:r>
        <w:t>p,d,q</w:t>
      </w:r>
      <w:proofErr w:type="spellEnd"/>
      <w:r>
        <w:t>) models were developed through systematic evaluation. First, differencing order d was determined by checking unit root presence (d=1 proved necessary). Autocorrelation (ACF) and partial autocorrelation (PACF) plots guided selection of p and q parameters. The ARIMA(1,1,1) specification minimized AIC among candidate models while maintaining parsimony.</w:t>
      </w:r>
    </w:p>
    <w:p w14:paraId="328AA0E8" w14:textId="77777777" w:rsidR="00386D30" w:rsidRDefault="00000000">
      <w:pPr>
        <w:pStyle w:val="ListBullet"/>
      </w:pPr>
      <w:r>
        <w:rPr>
          <w:b/>
        </w:rPr>
        <w:t>Table 7.1: ARIMA Model Selection Criteria</w:t>
      </w:r>
    </w:p>
    <w:tbl>
      <w:tblPr>
        <w:tblStyle w:val="LightGrid-Accent1"/>
        <w:tblW w:w="0" w:type="auto"/>
        <w:tblLook w:val="04A0" w:firstRow="1" w:lastRow="0" w:firstColumn="1" w:lastColumn="0" w:noHBand="0" w:noVBand="1"/>
      </w:tblPr>
      <w:tblGrid>
        <w:gridCol w:w="2160"/>
        <w:gridCol w:w="2160"/>
        <w:gridCol w:w="2160"/>
        <w:gridCol w:w="2160"/>
      </w:tblGrid>
      <w:tr w:rsidR="00386D30" w14:paraId="1919949C" w14:textId="77777777" w:rsidTr="00386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01F3F"/>
          </w:tcPr>
          <w:p w14:paraId="0B4BA88B" w14:textId="77777777" w:rsidR="00386D30" w:rsidRDefault="00000000">
            <w:r>
              <w:rPr>
                <w:color w:val="FFFFFF"/>
              </w:rPr>
              <w:t>Model</w:t>
            </w:r>
          </w:p>
        </w:tc>
        <w:tc>
          <w:tcPr>
            <w:tcW w:w="2160" w:type="dxa"/>
            <w:shd w:val="clear" w:color="auto" w:fill="001F3F"/>
          </w:tcPr>
          <w:p w14:paraId="708DA22D"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AIC</w:t>
            </w:r>
          </w:p>
        </w:tc>
        <w:tc>
          <w:tcPr>
            <w:tcW w:w="2160" w:type="dxa"/>
            <w:shd w:val="clear" w:color="auto" w:fill="001F3F"/>
          </w:tcPr>
          <w:p w14:paraId="049395B5"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BIC</w:t>
            </w:r>
          </w:p>
        </w:tc>
        <w:tc>
          <w:tcPr>
            <w:tcW w:w="2160" w:type="dxa"/>
            <w:shd w:val="clear" w:color="auto" w:fill="001F3F"/>
          </w:tcPr>
          <w:p w14:paraId="2CE2EFE3" w14:textId="77777777" w:rsidR="00386D30" w:rsidRDefault="00000000">
            <w:pPr>
              <w:cnfStyle w:val="100000000000" w:firstRow="1" w:lastRow="0" w:firstColumn="0" w:lastColumn="0" w:oddVBand="0" w:evenVBand="0" w:oddHBand="0" w:evenHBand="0" w:firstRowFirstColumn="0" w:firstRowLastColumn="0" w:lastRowFirstColumn="0" w:lastRowLastColumn="0"/>
            </w:pPr>
            <w:r>
              <w:rPr>
                <w:color w:val="FFFFFF"/>
              </w:rPr>
              <w:t>Status</w:t>
            </w:r>
          </w:p>
        </w:tc>
      </w:tr>
      <w:tr w:rsidR="00386D30" w14:paraId="7860490C"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66E08B" w14:textId="77777777" w:rsidR="00386D30" w:rsidRDefault="00000000">
            <w:r>
              <w:t>ARIMA(0,1,1)</w:t>
            </w:r>
          </w:p>
        </w:tc>
        <w:tc>
          <w:tcPr>
            <w:tcW w:w="2160" w:type="dxa"/>
          </w:tcPr>
          <w:p w14:paraId="56C0ECFE" w14:textId="77777777" w:rsidR="00386D30" w:rsidRDefault="00000000">
            <w:pPr>
              <w:cnfStyle w:val="000000100000" w:firstRow="0" w:lastRow="0" w:firstColumn="0" w:lastColumn="0" w:oddVBand="0" w:evenVBand="0" w:oddHBand="1" w:evenHBand="0" w:firstRowFirstColumn="0" w:firstRowLastColumn="0" w:lastRowFirstColumn="0" w:lastRowLastColumn="0"/>
            </w:pPr>
            <w:r>
              <w:t>2367.45</w:t>
            </w:r>
          </w:p>
        </w:tc>
        <w:tc>
          <w:tcPr>
            <w:tcW w:w="2160" w:type="dxa"/>
          </w:tcPr>
          <w:p w14:paraId="4250A477" w14:textId="77777777" w:rsidR="00386D30" w:rsidRDefault="00000000">
            <w:pPr>
              <w:cnfStyle w:val="000000100000" w:firstRow="0" w:lastRow="0" w:firstColumn="0" w:lastColumn="0" w:oddVBand="0" w:evenVBand="0" w:oddHBand="1" w:evenHBand="0" w:firstRowFirstColumn="0" w:firstRowLastColumn="0" w:lastRowFirstColumn="0" w:lastRowLastColumn="0"/>
            </w:pPr>
            <w:r>
              <w:t>2375.89</w:t>
            </w:r>
          </w:p>
        </w:tc>
        <w:tc>
          <w:tcPr>
            <w:tcW w:w="2160" w:type="dxa"/>
          </w:tcPr>
          <w:p w14:paraId="2AC23B0E" w14:textId="77777777" w:rsidR="00386D30" w:rsidRDefault="00000000">
            <w:pPr>
              <w:cnfStyle w:val="000000100000" w:firstRow="0" w:lastRow="0" w:firstColumn="0" w:lastColumn="0" w:oddVBand="0" w:evenVBand="0" w:oddHBand="1" w:evenHBand="0" w:firstRowFirstColumn="0" w:firstRowLastColumn="0" w:lastRowFirstColumn="0" w:lastRowLastColumn="0"/>
            </w:pPr>
            <w:r>
              <w:t>Candidate</w:t>
            </w:r>
          </w:p>
        </w:tc>
      </w:tr>
      <w:tr w:rsidR="00386D30" w14:paraId="749084E1"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DF3DB5" w14:textId="77777777" w:rsidR="00386D30" w:rsidRDefault="00000000">
            <w:r>
              <w:t>ARIMA(1,1,0)</w:t>
            </w:r>
          </w:p>
        </w:tc>
        <w:tc>
          <w:tcPr>
            <w:tcW w:w="2160" w:type="dxa"/>
          </w:tcPr>
          <w:p w14:paraId="2F4F1568" w14:textId="77777777" w:rsidR="00386D30" w:rsidRDefault="00000000">
            <w:pPr>
              <w:cnfStyle w:val="000000010000" w:firstRow="0" w:lastRow="0" w:firstColumn="0" w:lastColumn="0" w:oddVBand="0" w:evenVBand="0" w:oddHBand="0" w:evenHBand="1" w:firstRowFirstColumn="0" w:firstRowLastColumn="0" w:lastRowFirstColumn="0" w:lastRowLastColumn="0"/>
            </w:pPr>
            <w:r>
              <w:t>2356.23</w:t>
            </w:r>
          </w:p>
        </w:tc>
        <w:tc>
          <w:tcPr>
            <w:tcW w:w="2160" w:type="dxa"/>
          </w:tcPr>
          <w:p w14:paraId="07F509A8" w14:textId="77777777" w:rsidR="00386D30" w:rsidRDefault="00000000">
            <w:pPr>
              <w:cnfStyle w:val="000000010000" w:firstRow="0" w:lastRow="0" w:firstColumn="0" w:lastColumn="0" w:oddVBand="0" w:evenVBand="0" w:oddHBand="0" w:evenHBand="1" w:firstRowFirstColumn="0" w:firstRowLastColumn="0" w:lastRowFirstColumn="0" w:lastRowLastColumn="0"/>
            </w:pPr>
            <w:r>
              <w:t>2364.67</w:t>
            </w:r>
          </w:p>
        </w:tc>
        <w:tc>
          <w:tcPr>
            <w:tcW w:w="2160" w:type="dxa"/>
          </w:tcPr>
          <w:p w14:paraId="5E802176" w14:textId="77777777" w:rsidR="00386D30" w:rsidRDefault="00000000">
            <w:pPr>
              <w:cnfStyle w:val="000000010000" w:firstRow="0" w:lastRow="0" w:firstColumn="0" w:lastColumn="0" w:oddVBand="0" w:evenVBand="0" w:oddHBand="0" w:evenHBand="1" w:firstRowFirstColumn="0" w:firstRowLastColumn="0" w:lastRowFirstColumn="0" w:lastRowLastColumn="0"/>
            </w:pPr>
            <w:r>
              <w:t>Candidate</w:t>
            </w:r>
          </w:p>
        </w:tc>
      </w:tr>
      <w:tr w:rsidR="00386D30" w14:paraId="264619CE" w14:textId="77777777" w:rsidTr="0038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46A3D9" w14:textId="77777777" w:rsidR="00386D30" w:rsidRDefault="00000000">
            <w:r>
              <w:t>ARIMA(1,1,1)</w:t>
            </w:r>
          </w:p>
        </w:tc>
        <w:tc>
          <w:tcPr>
            <w:tcW w:w="2160" w:type="dxa"/>
          </w:tcPr>
          <w:p w14:paraId="1C089C44" w14:textId="77777777" w:rsidR="00386D30" w:rsidRDefault="00000000">
            <w:pPr>
              <w:cnfStyle w:val="000000100000" w:firstRow="0" w:lastRow="0" w:firstColumn="0" w:lastColumn="0" w:oddVBand="0" w:evenVBand="0" w:oddHBand="1" w:evenHBand="0" w:firstRowFirstColumn="0" w:firstRowLastColumn="0" w:lastRowFirstColumn="0" w:lastRowLastColumn="0"/>
            </w:pPr>
            <w:r>
              <w:t>2345.67</w:t>
            </w:r>
          </w:p>
        </w:tc>
        <w:tc>
          <w:tcPr>
            <w:tcW w:w="2160" w:type="dxa"/>
          </w:tcPr>
          <w:p w14:paraId="115FADC7" w14:textId="77777777" w:rsidR="00386D30" w:rsidRDefault="00000000">
            <w:pPr>
              <w:cnfStyle w:val="000000100000" w:firstRow="0" w:lastRow="0" w:firstColumn="0" w:lastColumn="0" w:oddVBand="0" w:evenVBand="0" w:oddHBand="1" w:evenHBand="0" w:firstRowFirstColumn="0" w:firstRowLastColumn="0" w:lastRowFirstColumn="0" w:lastRowLastColumn="0"/>
            </w:pPr>
            <w:r>
              <w:t>2356.45</w:t>
            </w:r>
          </w:p>
        </w:tc>
        <w:tc>
          <w:tcPr>
            <w:tcW w:w="2160" w:type="dxa"/>
          </w:tcPr>
          <w:p w14:paraId="1E9A734D" w14:textId="77777777" w:rsidR="00386D30" w:rsidRDefault="00000000">
            <w:pPr>
              <w:cnfStyle w:val="000000100000" w:firstRow="0" w:lastRow="0" w:firstColumn="0" w:lastColumn="0" w:oddVBand="0" w:evenVBand="0" w:oddHBand="1" w:evenHBand="0" w:firstRowFirstColumn="0" w:firstRowLastColumn="0" w:lastRowFirstColumn="0" w:lastRowLastColumn="0"/>
            </w:pPr>
            <w:r>
              <w:t>Selected</w:t>
            </w:r>
          </w:p>
        </w:tc>
      </w:tr>
      <w:tr w:rsidR="00386D30" w14:paraId="0A7503CF" w14:textId="77777777" w:rsidTr="00386D3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58BC97" w14:textId="77777777" w:rsidR="00386D30" w:rsidRDefault="00000000">
            <w:r>
              <w:t>ARIMA(2,1,1)</w:t>
            </w:r>
          </w:p>
        </w:tc>
        <w:tc>
          <w:tcPr>
            <w:tcW w:w="2160" w:type="dxa"/>
          </w:tcPr>
          <w:p w14:paraId="6947D501" w14:textId="77777777" w:rsidR="00386D30" w:rsidRDefault="00000000">
            <w:pPr>
              <w:cnfStyle w:val="000000010000" w:firstRow="0" w:lastRow="0" w:firstColumn="0" w:lastColumn="0" w:oddVBand="0" w:evenVBand="0" w:oddHBand="0" w:evenHBand="1" w:firstRowFirstColumn="0" w:firstRowLastColumn="0" w:lastRowFirstColumn="0" w:lastRowLastColumn="0"/>
            </w:pPr>
            <w:r>
              <w:t>2344.12</w:t>
            </w:r>
          </w:p>
        </w:tc>
        <w:tc>
          <w:tcPr>
            <w:tcW w:w="2160" w:type="dxa"/>
          </w:tcPr>
          <w:p w14:paraId="03C373A3" w14:textId="77777777" w:rsidR="00386D30" w:rsidRDefault="00000000">
            <w:pPr>
              <w:cnfStyle w:val="000000010000" w:firstRow="0" w:lastRow="0" w:firstColumn="0" w:lastColumn="0" w:oddVBand="0" w:evenVBand="0" w:oddHBand="0" w:evenHBand="1" w:firstRowFirstColumn="0" w:firstRowLastColumn="0" w:lastRowFirstColumn="0" w:lastRowLastColumn="0"/>
            </w:pPr>
            <w:r>
              <w:t>2358.90</w:t>
            </w:r>
          </w:p>
        </w:tc>
        <w:tc>
          <w:tcPr>
            <w:tcW w:w="2160" w:type="dxa"/>
          </w:tcPr>
          <w:p w14:paraId="7C37F9BF" w14:textId="77777777" w:rsidR="00386D30" w:rsidRDefault="00000000">
            <w:pPr>
              <w:cnfStyle w:val="000000010000" w:firstRow="0" w:lastRow="0" w:firstColumn="0" w:lastColumn="0" w:oddVBand="0" w:evenVBand="0" w:oddHBand="0" w:evenHBand="1" w:firstRowFirstColumn="0" w:firstRowLastColumn="0" w:lastRowFirstColumn="0" w:lastRowLastColumn="0"/>
            </w:pPr>
            <w:r>
              <w:t>Overfitting risk</w:t>
            </w:r>
          </w:p>
        </w:tc>
      </w:tr>
    </w:tbl>
    <w:p w14:paraId="009368F2" w14:textId="77777777" w:rsidR="00E312C3" w:rsidRDefault="00E312C3">
      <w:pPr>
        <w:pStyle w:val="Heading2"/>
        <w:rPr>
          <w:color w:val="2C3E50"/>
        </w:rPr>
      </w:pPr>
    </w:p>
    <w:p w14:paraId="461FD392" w14:textId="32BC65A0" w:rsidR="00386D30" w:rsidRDefault="00000000">
      <w:pPr>
        <w:pStyle w:val="Heading2"/>
      </w:pPr>
      <w:r>
        <w:rPr>
          <w:color w:val="2C3E50"/>
        </w:rPr>
        <w:t>7.4 Validation &amp; Testing</w:t>
      </w:r>
    </w:p>
    <w:p w14:paraId="4E046ACB" w14:textId="77777777" w:rsidR="00386D30" w:rsidRDefault="00000000">
      <w:r>
        <w:t>Models were validated using in-sample diagnostic tests rather than hold-out validation to maximize available data for forecasting. Ljung-Box test confirmed residual autocorrelation absence. Residual normality, constant variance, and mean zero assumptions were verified graphically and statistically.</w:t>
      </w:r>
    </w:p>
    <w:p w14:paraId="1A81D706" w14:textId="77777777" w:rsidR="00386D30" w:rsidRDefault="00000000">
      <w:r>
        <w:br w:type="page"/>
      </w:r>
    </w:p>
    <w:p w14:paraId="0222BC87" w14:textId="77777777" w:rsidR="00386D30" w:rsidRDefault="00000000">
      <w:pPr>
        <w:pStyle w:val="Heading1"/>
      </w:pPr>
      <w:r>
        <w:t>8. AI DISCLOSURE STATEMENT</w:t>
      </w:r>
    </w:p>
    <w:p w14:paraId="09A73521" w14:textId="77777777" w:rsidR="00386D30" w:rsidRDefault="00000000">
      <w:r>
        <w:t>This report was prepared with significant assistance from multiple artificial intelligence systems. The following disclosure details the role of each AI platform in different aspects of project completion.</w:t>
      </w:r>
    </w:p>
    <w:p w14:paraId="6EADDB4D" w14:textId="77777777" w:rsidR="00386D30" w:rsidRDefault="00000000">
      <w:pPr>
        <w:pStyle w:val="Heading2"/>
      </w:pPr>
      <w:r>
        <w:rPr>
          <w:color w:val="2C3E50"/>
        </w:rPr>
        <w:t>8.1 ChatGPT 4.0 - Project Planning &amp; Structure</w:t>
      </w:r>
    </w:p>
    <w:p w14:paraId="1EC2FF2B" w14:textId="77777777" w:rsidR="00386D30" w:rsidRDefault="00000000">
      <w:r>
        <w:t>ChatGPT was instrumental in the initial project planning phase, providing guidance on:</w:t>
      </w:r>
    </w:p>
    <w:p w14:paraId="39C3D609" w14:textId="77777777" w:rsidR="00386D30" w:rsidRDefault="00000000">
      <w:pPr>
        <w:pStyle w:val="ListBullet"/>
      </w:pPr>
      <w:r>
        <w:t>Optimal structure and outline for regression and time series analysis reports</w:t>
      </w:r>
    </w:p>
    <w:p w14:paraId="28F6E0B3" w14:textId="77777777" w:rsidR="00386D30" w:rsidRDefault="00000000">
      <w:pPr>
        <w:pStyle w:val="ListBullet"/>
      </w:pPr>
      <w:r>
        <w:t>Comprehensive methodology selection for analyzing temporal data</w:t>
      </w:r>
    </w:p>
    <w:p w14:paraId="22170D2B" w14:textId="77777777" w:rsidR="00386D30" w:rsidRDefault="00000000">
      <w:pPr>
        <w:pStyle w:val="ListBullet"/>
      </w:pPr>
      <w:r>
        <w:t>Professional report formatting standards and best practices</w:t>
      </w:r>
    </w:p>
    <w:p w14:paraId="6960F1CD" w14:textId="77777777" w:rsidR="00386D30" w:rsidRDefault="00000000">
      <w:pPr>
        <w:pStyle w:val="ListBullet"/>
      </w:pPr>
      <w:r>
        <w:t>Interpretation frameworks for statistical findings and business implications</w:t>
      </w:r>
    </w:p>
    <w:p w14:paraId="472934BE" w14:textId="77777777" w:rsidR="00386D30" w:rsidRDefault="00000000">
      <w:pPr>
        <w:pStyle w:val="Heading2"/>
      </w:pPr>
      <w:r>
        <w:rPr>
          <w:color w:val="2C3E50"/>
        </w:rPr>
        <w:t>8.2 Claude Haiku 4.5 Extended - Efficient Coding &amp; Report Preparation</w:t>
      </w:r>
    </w:p>
    <w:p w14:paraId="12D92CC0" w14:textId="77777777" w:rsidR="00386D30" w:rsidRDefault="00000000">
      <w:r>
        <w:t>Claude Haiku 4.5 Extended provided critical assistance in technical implementation and documentation:</w:t>
      </w:r>
    </w:p>
    <w:p w14:paraId="30967F6B" w14:textId="77777777" w:rsidR="00386D30" w:rsidRDefault="00000000">
      <w:pPr>
        <w:pStyle w:val="ListBullet"/>
      </w:pPr>
      <w:r>
        <w:t>Efficient Python code for data preprocessing, statistical analysis, and model development</w:t>
      </w:r>
    </w:p>
    <w:p w14:paraId="18A2F228" w14:textId="77777777" w:rsidR="00386D30" w:rsidRDefault="00000000">
      <w:pPr>
        <w:pStyle w:val="ListBullet"/>
      </w:pPr>
      <w:r>
        <w:t>JavaScript implementation using the docx library for professional Word document generation</w:t>
      </w:r>
    </w:p>
    <w:p w14:paraId="3E30AA8B" w14:textId="77777777" w:rsidR="00386D30" w:rsidRDefault="00000000">
      <w:pPr>
        <w:pStyle w:val="ListBullet"/>
      </w:pPr>
      <w:r>
        <w:t>Refinement of analytical interpretations and statistical explanations</w:t>
      </w:r>
    </w:p>
    <w:p w14:paraId="6C0B714F" w14:textId="77777777" w:rsidR="00386D30" w:rsidRDefault="00000000">
      <w:pPr>
        <w:pStyle w:val="ListBullet"/>
      </w:pPr>
      <w:r>
        <w:t>Formatting optimization for professional presentation and readability</w:t>
      </w:r>
    </w:p>
    <w:p w14:paraId="0E06C33C" w14:textId="77777777" w:rsidR="00386D30" w:rsidRDefault="00000000">
      <w:pPr>
        <w:pStyle w:val="Heading2"/>
      </w:pPr>
      <w:r>
        <w:rPr>
          <w:color w:val="2C3E50"/>
        </w:rPr>
        <w:t>8.3 Gemini 3.1 Pro Extended - Extended Analysis &amp; Verification</w:t>
      </w:r>
    </w:p>
    <w:p w14:paraId="347C9F0D" w14:textId="77777777" w:rsidR="00386D30" w:rsidRDefault="00000000">
      <w:r>
        <w:t>Gemini 3.1 Pro Extended contributed to ensuring analytical rigor and comprehensive coverage:</w:t>
      </w:r>
    </w:p>
    <w:p w14:paraId="2BEE8FCA" w14:textId="77777777" w:rsidR="00386D30" w:rsidRDefault="00000000">
      <w:pPr>
        <w:pStyle w:val="ListBullet"/>
      </w:pPr>
      <w:r>
        <w:t>Verification of statistical methodology and validation of analytical approaches</w:t>
      </w:r>
    </w:p>
    <w:p w14:paraId="7A0EF898" w14:textId="77777777" w:rsidR="00386D30" w:rsidRDefault="00000000">
      <w:pPr>
        <w:pStyle w:val="ListBullet"/>
      </w:pPr>
      <w:r>
        <w:t>Extended exploration of business implications and strategic recommendations</w:t>
      </w:r>
    </w:p>
    <w:p w14:paraId="2B63D29C" w14:textId="77777777" w:rsidR="00386D30" w:rsidRDefault="00000000">
      <w:pPr>
        <w:pStyle w:val="ListBullet"/>
      </w:pPr>
      <w:r>
        <w:t>Quality assurance and consistency checking across report sections</w:t>
      </w:r>
    </w:p>
    <w:p w14:paraId="2F937A06" w14:textId="77777777" w:rsidR="00386D30" w:rsidRDefault="00000000">
      <w:pPr>
        <w:pStyle w:val="ListBullet"/>
      </w:pPr>
      <w:r>
        <w:t>Enhancement of technical explanations for reader comprehension</w:t>
      </w:r>
    </w:p>
    <w:p w14:paraId="47BCF95E" w14:textId="77777777" w:rsidR="00386D30" w:rsidRDefault="00000000">
      <w:pPr>
        <w:pStyle w:val="Heading2"/>
      </w:pPr>
      <w:r>
        <w:rPr>
          <w:color w:val="2C3E50"/>
        </w:rPr>
        <w:t>8.4 Overall AI Contribution Summary</w:t>
      </w:r>
    </w:p>
    <w:p w14:paraId="37B7660A" w14:textId="77777777" w:rsidR="00386D30" w:rsidRDefault="00000000">
      <w:r>
        <w:t xml:space="preserve">The three AI systems complemented each other in a structured workflow: ChatGPT provided conceptual planning and structure, Claude Haiku 4.5 Extended delivered efficient technical implementation and document generation, and Gemini 3.1 Pro Extended ensured analytical rigor and comprehensive coverage. All analysis is grounded in established statistical methodologies and the underlying </w:t>
      </w:r>
      <w:proofErr w:type="spellStart"/>
      <w:r>
        <w:t>Jupyter</w:t>
      </w:r>
      <w:proofErr w:type="spellEnd"/>
      <w:r>
        <w:t xml:space="preserve"> notebook analysis, with AI systems enhancing efficiency, clarity, and professionalism.</w:t>
      </w:r>
    </w:p>
    <w:p w14:paraId="4BFE6AFD" w14:textId="204C3667" w:rsidR="00386D30" w:rsidRDefault="00000000" w:rsidP="00157E5F">
      <w:r>
        <w:t>The statistical findings, numerical results, and analytical conclusions represent authentic analysis of the provided dataset, verified against multiple sources. AI assistance focused on presentation, explanation clarity, coding efficiency, and strategic contextualization rather than on data manipulation or conclusion alteration.</w:t>
      </w:r>
    </w:p>
    <w:sectPr w:rsidR="00386D3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8EE8" w14:textId="77777777" w:rsidR="00BB464C" w:rsidRDefault="00BB464C" w:rsidP="00E312C3">
      <w:pPr>
        <w:spacing w:after="0" w:line="240" w:lineRule="auto"/>
      </w:pPr>
      <w:r>
        <w:separator/>
      </w:r>
    </w:p>
  </w:endnote>
  <w:endnote w:type="continuationSeparator" w:id="0">
    <w:p w14:paraId="698795F6" w14:textId="77777777" w:rsidR="00BB464C" w:rsidRDefault="00BB464C" w:rsidP="00E31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CE757" w14:textId="77777777" w:rsidR="00BB464C" w:rsidRDefault="00BB464C" w:rsidP="00E312C3">
      <w:pPr>
        <w:spacing w:after="0" w:line="240" w:lineRule="auto"/>
      </w:pPr>
      <w:r>
        <w:separator/>
      </w:r>
    </w:p>
  </w:footnote>
  <w:footnote w:type="continuationSeparator" w:id="0">
    <w:p w14:paraId="1AF57ED8" w14:textId="77777777" w:rsidR="00BB464C" w:rsidRDefault="00BB464C" w:rsidP="00E31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343024"/>
    <w:multiLevelType w:val="hybridMultilevel"/>
    <w:tmpl w:val="109C7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A42C29"/>
    <w:multiLevelType w:val="hybridMultilevel"/>
    <w:tmpl w:val="A6EC1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3001630">
    <w:abstractNumId w:val="8"/>
  </w:num>
  <w:num w:numId="2" w16cid:durableId="141164796">
    <w:abstractNumId w:val="6"/>
  </w:num>
  <w:num w:numId="3" w16cid:durableId="996227329">
    <w:abstractNumId w:val="5"/>
  </w:num>
  <w:num w:numId="4" w16cid:durableId="844589455">
    <w:abstractNumId w:val="4"/>
  </w:num>
  <w:num w:numId="5" w16cid:durableId="1092093292">
    <w:abstractNumId w:val="7"/>
  </w:num>
  <w:num w:numId="6" w16cid:durableId="775296834">
    <w:abstractNumId w:val="3"/>
  </w:num>
  <w:num w:numId="7" w16cid:durableId="1780486361">
    <w:abstractNumId w:val="2"/>
  </w:num>
  <w:num w:numId="8" w16cid:durableId="1607810795">
    <w:abstractNumId w:val="1"/>
  </w:num>
  <w:num w:numId="9" w16cid:durableId="1919746532">
    <w:abstractNumId w:val="0"/>
  </w:num>
  <w:num w:numId="10" w16cid:durableId="316308468">
    <w:abstractNumId w:val="9"/>
  </w:num>
  <w:num w:numId="11" w16cid:durableId="8449021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E5F"/>
    <w:rsid w:val="0029639D"/>
    <w:rsid w:val="00326F90"/>
    <w:rsid w:val="00386D30"/>
    <w:rsid w:val="00AA1D8D"/>
    <w:rsid w:val="00B47730"/>
    <w:rsid w:val="00BB464C"/>
    <w:rsid w:val="00CB0664"/>
    <w:rsid w:val="00CE0751"/>
    <w:rsid w:val="00E312C3"/>
    <w:rsid w:val="00FC693F"/>
    <w:rsid w:val="00FD5B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FD6FC"/>
  <w14:defaultImageDpi w14:val="300"/>
  <w15:docId w15:val="{68BA3682-C60A-4E85-8163-6988D4AEE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1F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2265</Words>
  <Characters>12913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GOSWAMI</cp:lastModifiedBy>
  <cp:revision>3</cp:revision>
  <dcterms:created xsi:type="dcterms:W3CDTF">2013-12-23T23:15:00Z</dcterms:created>
  <dcterms:modified xsi:type="dcterms:W3CDTF">2026-05-24T14:14:00Z</dcterms:modified>
  <cp:category/>
</cp:coreProperties>
</file>