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69F0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L’article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“Intracellular </w:t>
      </w:r>
      <w:r w:rsidRPr="008942C3">
        <w:rPr>
          <w:rFonts w:ascii="Segoe UI" w:eastAsia="Times New Roman" w:hAnsi="Segoe UI" w:cs="Segoe UI"/>
          <w:b/>
          <w:bCs/>
          <w:i/>
          <w:iCs/>
          <w:color w:val="0D0D0D"/>
          <w:kern w:val="0"/>
          <w:lang w:eastAsia="fr-FR"/>
          <w14:ligatures w14:val="none"/>
        </w:rPr>
        <w:t>Staphylococcus aureus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 persisters upon antibiotic exposure”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(Peyrusson et al.,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Nature Communications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2020) explore la persistance bactérienne de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S. aureus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à l’intérieur des cellules hôtes, un phénomène crucial pour comprendre les rechutes infectieuses et les échecs thérapeutiques.</w:t>
      </w:r>
    </w:p>
    <w:p w14:paraId="14CB2263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2CC15438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4FF2EFBA" w14:textId="77777777" w:rsidR="008942C3" w:rsidRPr="008942C3" w:rsidRDefault="008942C3" w:rsidP="008942C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🧫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Contexte et objectifs</w:t>
      </w:r>
    </w:p>
    <w:p w14:paraId="35E3A284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cellules persistantes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sont des variants phénotypiques non génétiquement résistants, capables de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survivre transitoirement à des concentrations létales d’antibiotiques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grâce à un état métaboliquement ralenti ou non proliférant.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L’étude vise à :</w:t>
      </w:r>
    </w:p>
    <w:p w14:paraId="78DE63A9" w14:textId="77777777" w:rsidR="008942C3" w:rsidRPr="008942C3" w:rsidRDefault="008942C3" w:rsidP="008942C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Démontrer l’existence de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persisters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intracellulaires de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S. aureus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;</w:t>
      </w:r>
    </w:p>
    <w:p w14:paraId="06A25611" w14:textId="77777777" w:rsidR="008942C3" w:rsidRPr="008942C3" w:rsidRDefault="008942C3" w:rsidP="008942C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Caractériser leur dynamique et leur métabolisme ;</w:t>
      </w:r>
    </w:p>
    <w:p w14:paraId="1CCC6D78" w14:textId="77777777" w:rsidR="008942C3" w:rsidRPr="008942C3" w:rsidRDefault="008942C3" w:rsidP="008942C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Identifier les voies de signalisation et d’adaptation impliquées.</w:t>
      </w:r>
    </w:p>
    <w:p w14:paraId="69905D46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4DDD7780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6257279C" w14:textId="77777777" w:rsidR="008942C3" w:rsidRPr="008942C3" w:rsidRDefault="008942C3" w:rsidP="008942C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🔬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Méthodes principales</w:t>
      </w:r>
    </w:p>
    <w:p w14:paraId="44977C10" w14:textId="77777777" w:rsidR="008942C3" w:rsidRPr="008942C3" w:rsidRDefault="008942C3" w:rsidP="008942C3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Modèle in vitro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macrophages murins J774 et cellules humaines infectés par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S. aureus SH1000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exprimant la GFP.</w:t>
      </w:r>
    </w:p>
    <w:p w14:paraId="027F5D57" w14:textId="77777777" w:rsidR="008942C3" w:rsidRPr="008942C3" w:rsidRDefault="008942C3" w:rsidP="008942C3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Suivi de division bactérienne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dilution de fluorescence (fluorescence dilution method) pour visualiser la réplication à l’échelle cellulaire unique.</w:t>
      </w:r>
    </w:p>
    <w:p w14:paraId="6B2C78D1" w14:textId="77777777" w:rsidR="008942C3" w:rsidRPr="008942C3" w:rsidRDefault="008942C3" w:rsidP="008942C3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Quantification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comptage des CFU et cytométrie en flux.</w:t>
      </w:r>
    </w:p>
    <w:p w14:paraId="2423DC32" w14:textId="77777777" w:rsidR="008942C3" w:rsidRPr="008942C3" w:rsidRDefault="008942C3" w:rsidP="008942C3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Transcriptomique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RNA-seq des bactéries triées (GFP⁺/PI⁻) pour comparer persisters et populations témoins.</w:t>
      </w:r>
    </w:p>
    <w:p w14:paraId="0EC334B9" w14:textId="77777777" w:rsidR="008942C3" w:rsidRPr="008942C3" w:rsidRDefault="008942C3" w:rsidP="008942C3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Mutants génétiques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inactivation des gènes du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stringent response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(rsh, codY) pour tester leur rôle.</w:t>
      </w:r>
    </w:p>
    <w:p w14:paraId="71CA466A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30690BB7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6ABD368D" w14:textId="77777777" w:rsidR="008942C3" w:rsidRDefault="008942C3" w:rsidP="008942C3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</w:p>
    <w:p w14:paraId="50DC4A03" w14:textId="77777777" w:rsidR="008942C3" w:rsidRDefault="008942C3" w:rsidP="008942C3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</w:p>
    <w:p w14:paraId="77FC4CF6" w14:textId="77E2BF92" w:rsidR="008942C3" w:rsidRPr="008942C3" w:rsidRDefault="008942C3" w:rsidP="008942C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lastRenderedPageBreak/>
        <w:t>⚙️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Résultats majeurs</w:t>
      </w:r>
    </w:p>
    <w:p w14:paraId="25216E55" w14:textId="77777777" w:rsidR="008942C3" w:rsidRPr="008942C3" w:rsidRDefault="008942C3" w:rsidP="008942C3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1. Preuve de persisters intracellulaires</w:t>
      </w:r>
    </w:p>
    <w:p w14:paraId="0E927B30" w14:textId="77777777" w:rsidR="008942C3" w:rsidRPr="008942C3" w:rsidRDefault="008942C3" w:rsidP="008942C3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Après 24 h d’exposition à des concentrations élevées d’antibiotiques (oxacilline, clarithromycine, moxifloxacine), une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sous-population survivante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 observée.</w:t>
      </w:r>
    </w:p>
    <w:p w14:paraId="248C9EC8" w14:textId="77777777" w:rsidR="008942C3" w:rsidRPr="008942C3" w:rsidRDefault="008942C3" w:rsidP="008942C3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Les courbes de survie montrent une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cinétique biphasique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élimination rapide de la majorité, puis survie prolongée d’une minorité.</w:t>
      </w:r>
    </w:p>
    <w:p w14:paraId="41B416ED" w14:textId="77777777" w:rsidR="008942C3" w:rsidRPr="008942C3" w:rsidRDefault="008942C3" w:rsidP="008942C3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Ces cellules sont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non-divisantes mais viables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redeviennent proliférantes dès le retrait de l’antibiotique →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phénotype réversible.</w:t>
      </w:r>
    </w:p>
    <w:p w14:paraId="34E06BBF" w14:textId="77777777" w:rsidR="008942C3" w:rsidRPr="008942C3" w:rsidRDefault="008942C3" w:rsidP="008942C3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2. Persisters métaboliquement actifs</w:t>
      </w:r>
    </w:p>
    <w:p w14:paraId="20925C93" w14:textId="77777777" w:rsidR="008942C3" w:rsidRPr="008942C3" w:rsidRDefault="008942C3" w:rsidP="008942C3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Contrairement à l’idée d’une dormance complète :</w:t>
      </w:r>
    </w:p>
    <w:p w14:paraId="29F6333E" w14:textId="77777777" w:rsidR="008942C3" w:rsidRPr="008942C3" w:rsidRDefault="008942C3" w:rsidP="008942C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Les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persisters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maintiennent leur niveau d’ATP.</w:t>
      </w:r>
    </w:p>
    <w:p w14:paraId="6518A212" w14:textId="77777777" w:rsidR="008942C3" w:rsidRPr="008942C3" w:rsidRDefault="008942C3" w:rsidP="008942C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Ils traduisent encore des protéines (production de GFP après induction).</w:t>
      </w:r>
    </w:p>
    <w:p w14:paraId="7D0E707D" w14:textId="77777777" w:rsidR="008942C3" w:rsidRPr="008942C3" w:rsidRDefault="008942C3" w:rsidP="008942C3">
      <w:pPr>
        <w:numPr>
          <w:ilvl w:val="1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Ils ajustent leur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métabolisme central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(glycolyse, fermentation lactique, respiration réduite) sans signe de carence en acides aminés.</w:t>
      </w:r>
    </w:p>
    <w:p w14:paraId="2DFE7774" w14:textId="77777777" w:rsidR="008942C3" w:rsidRPr="008942C3" w:rsidRDefault="008942C3" w:rsidP="008942C3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3. Profil transcriptomique remanié</w:t>
      </w:r>
    </w:p>
    <w:p w14:paraId="1639635A" w14:textId="77777777" w:rsidR="008942C3" w:rsidRPr="008942C3" w:rsidRDefault="008942C3" w:rsidP="008942C3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1 477 gènes différentiellement exprimés :</w:t>
      </w:r>
    </w:p>
    <w:p w14:paraId="32A52EBD" w14:textId="77777777" w:rsidR="008942C3" w:rsidRPr="008942C3" w:rsidRDefault="008942C3" w:rsidP="008942C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↓ Gènes du métabolisme et de la croissance (nucléotides, acides aminés).</w:t>
      </w:r>
    </w:p>
    <w:p w14:paraId="05FEE799" w14:textId="77777777" w:rsidR="008942C3" w:rsidRPr="008942C3" w:rsidRDefault="008942C3" w:rsidP="008942C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↑ Gènes de réponse au stress, au repliement protéique, et à la maintenance de la paroi.</w:t>
      </w:r>
    </w:p>
    <w:p w14:paraId="1F079161" w14:textId="77777777" w:rsidR="008942C3" w:rsidRPr="008942C3" w:rsidRDefault="008942C3" w:rsidP="008942C3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Activation simultanée de plusieurs réseaux :</w:t>
      </w:r>
    </w:p>
    <w:p w14:paraId="006103F1" w14:textId="77777777" w:rsidR="008942C3" w:rsidRPr="008942C3" w:rsidRDefault="008942C3" w:rsidP="008942C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Réponse de contrainte stricte (Stringent Response, SR)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transitoire, via relP/relQ/rsh → déclenche le basculement vers la persistance.</w:t>
      </w:r>
    </w:p>
    <w:p w14:paraId="24E0F5E4" w14:textId="77777777" w:rsidR="008942C3" w:rsidRPr="008942C3" w:rsidRDefault="008942C3" w:rsidP="008942C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Cell Wall Stress Stimulon (CWSS)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activation de vraS/vraR, pbp2, sgtB, fmtA → tolérance aux β-lactamines.</w:t>
      </w:r>
    </w:p>
    <w:p w14:paraId="6545EE4A" w14:textId="77777777" w:rsidR="008942C3" w:rsidRPr="008942C3" w:rsidRDefault="008942C3" w:rsidP="008942C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SOS Response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recA, lexA, gyrA/B → réparation de l’ADN, tolérance aux fluoroquinolones.</w:t>
      </w:r>
    </w:p>
    <w:p w14:paraId="46D37987" w14:textId="77777777" w:rsidR="008942C3" w:rsidRPr="008942C3" w:rsidRDefault="008942C3" w:rsidP="008942C3">
      <w:pPr>
        <w:numPr>
          <w:ilvl w:val="1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Heat Shock Response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groESL, dnaK → gestion des protéines mal repliées, tolérance aux aminoglycosides/macrolides.</w:t>
      </w:r>
    </w:p>
    <w:p w14:paraId="39EA186B" w14:textId="77777777" w:rsidR="008942C3" w:rsidRPr="008942C3" w:rsidRDefault="008942C3" w:rsidP="008942C3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4. Tolérance multiple induite par un seul antibiotique</w:t>
      </w:r>
    </w:p>
    <w:p w14:paraId="64B79BAF" w14:textId="77777777" w:rsidR="008942C3" w:rsidRPr="008942C3" w:rsidRDefault="008942C3" w:rsidP="008942C3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Une exposition à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une seule molécule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(ex. oxacilline) induit une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tolérance croisée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à plusieurs classes d’antibiotiques, via ce réseau redondant de stress.</w:t>
      </w:r>
    </w:p>
    <w:p w14:paraId="72DC681B" w14:textId="77777777" w:rsidR="008942C3" w:rsidRPr="008942C3" w:rsidRDefault="008942C3" w:rsidP="008942C3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L’effet n’est pas observé lorsque le second antibiotique est ajouté après la phase de persistance → état de tolérance déjà établi.</w:t>
      </w:r>
    </w:p>
    <w:p w14:paraId="0C92C45B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46F0D935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0D187AF0" w14:textId="77777777" w:rsidR="008942C3" w:rsidRDefault="008942C3" w:rsidP="008942C3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</w:p>
    <w:p w14:paraId="15E990F7" w14:textId="77777777" w:rsidR="008942C3" w:rsidRDefault="008942C3" w:rsidP="008942C3">
      <w:pPr>
        <w:spacing w:after="0" w:line="240" w:lineRule="auto"/>
        <w:outlineLvl w:val="2"/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</w:p>
    <w:p w14:paraId="758383CA" w14:textId="7F310068" w:rsidR="008942C3" w:rsidRPr="008942C3" w:rsidRDefault="008942C3" w:rsidP="008942C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lastRenderedPageBreak/>
        <w:t>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Interprétation</w:t>
      </w:r>
    </w:p>
    <w:p w14:paraId="5163C714" w14:textId="77777777" w:rsidR="008942C3" w:rsidRPr="008942C3" w:rsidRDefault="008942C3" w:rsidP="008942C3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La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persistance intracellulaire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est 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état stable, réversible et actif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7BD93D47" w14:textId="77777777" w:rsidR="008942C3" w:rsidRPr="008942C3" w:rsidRDefault="008942C3" w:rsidP="008942C3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stringent response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initie la transition, mais le maintien repose sur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plusieurs voies adaptatives interdépendantes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5810C607" w14:textId="77777777" w:rsidR="008942C3" w:rsidRPr="008942C3" w:rsidRDefault="008942C3" w:rsidP="008942C3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Les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persisters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ne sont pas « dormants » mais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métaboliquement reconfigurés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pour survivre dans un environnement stressant (antibiotique + contraintes cellulaires).</w:t>
      </w:r>
    </w:p>
    <w:p w14:paraId="1689D057" w14:textId="77777777" w:rsidR="008942C3" w:rsidRPr="008942C3" w:rsidRDefault="008942C3" w:rsidP="008942C3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Ce comportement explique :</w:t>
      </w:r>
    </w:p>
    <w:p w14:paraId="400A4C42" w14:textId="77777777" w:rsidR="008942C3" w:rsidRPr="008942C3" w:rsidRDefault="008942C3" w:rsidP="008942C3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La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recrudescence rapide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d’infections après traitement ;</w:t>
      </w:r>
    </w:p>
    <w:p w14:paraId="661C51B9" w14:textId="77777777" w:rsidR="008942C3" w:rsidRPr="008942C3" w:rsidRDefault="008942C3" w:rsidP="008942C3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La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tolérance clinique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malgré la sensibilité génétique du pathogène.</w:t>
      </w:r>
    </w:p>
    <w:p w14:paraId="67780690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3C22ED5C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2A0B2C9" w14:textId="77777777" w:rsidR="008942C3" w:rsidRPr="008942C3" w:rsidRDefault="008942C3" w:rsidP="008942C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🧩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Modèle proposé (Figure 6)</w:t>
      </w:r>
    </w:p>
    <w:p w14:paraId="69F76EC8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L’infection intracellulaire entraîne :</w:t>
      </w:r>
    </w:p>
    <w:p w14:paraId="5461DD7A" w14:textId="77777777" w:rsidR="008942C3" w:rsidRPr="008942C3" w:rsidRDefault="008942C3" w:rsidP="008942C3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Stress métabolique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(changement de source de carbone, pH acide, ROS)</w:t>
      </w:r>
    </w:p>
    <w:p w14:paraId="497A749A" w14:textId="77777777" w:rsidR="008942C3" w:rsidRPr="008942C3" w:rsidRDefault="008942C3" w:rsidP="008942C3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Activation transitoire du stringent response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via (p)ppGpp ;</w:t>
      </w:r>
    </w:p>
    <w:p w14:paraId="79D80545" w14:textId="77777777" w:rsidR="008942C3" w:rsidRPr="008942C3" w:rsidRDefault="008942C3" w:rsidP="008942C3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Blocage de la division et réorientation métabolique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(économie d’énergie) ;</w:t>
      </w:r>
    </w:p>
    <w:p w14:paraId="6F4F1349" w14:textId="77777777" w:rsidR="008942C3" w:rsidRPr="008942C3" w:rsidRDefault="008942C3" w:rsidP="008942C3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Induction de CWSS, SOS, Heat Shock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→ tolérance multiple ;</w:t>
      </w:r>
    </w:p>
    <w:p w14:paraId="47A3D506" w14:textId="77777777" w:rsidR="008942C3" w:rsidRPr="008942C3" w:rsidRDefault="008942C3" w:rsidP="008942C3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Résilience et possible reversion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vers :</w:t>
      </w:r>
    </w:p>
    <w:p w14:paraId="73302A9B" w14:textId="77777777" w:rsidR="008942C3" w:rsidRPr="008942C3" w:rsidRDefault="008942C3" w:rsidP="008942C3">
      <w:pPr>
        <w:numPr>
          <w:ilvl w:val="1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une forme réplicative si le stress cesse,</w:t>
      </w:r>
    </w:p>
    <w:p w14:paraId="19DF7DF0" w14:textId="77777777" w:rsidR="008942C3" w:rsidRPr="008942C3" w:rsidRDefault="008942C3" w:rsidP="008942C3">
      <w:pPr>
        <w:numPr>
          <w:ilvl w:val="1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ou une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évolution vers la résistance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(mutations, transfert horizontal) si la pression persiste.</w:t>
      </w:r>
    </w:p>
    <w:p w14:paraId="2DEF1CCE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0EE24F26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4930E2A7" w14:textId="77777777" w:rsidR="008942C3" w:rsidRPr="008942C3" w:rsidRDefault="008942C3" w:rsidP="008942C3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:lang w:eastAsia="fr-FR"/>
          <w14:ligatures w14:val="none"/>
        </w:rPr>
        <w:t>💡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 Conclusion</w:t>
      </w:r>
    </w:p>
    <w:p w14:paraId="7373F602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Cette étude démontre que :</w:t>
      </w:r>
    </w:p>
    <w:p w14:paraId="42B1A6A8" w14:textId="77777777" w:rsidR="008942C3" w:rsidRPr="008942C3" w:rsidRDefault="008942C3" w:rsidP="008942C3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Les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persisters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intracellulaires de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S. aureus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sont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vivants, non dormants, et adaptatifs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34536581" w14:textId="77777777" w:rsidR="008942C3" w:rsidRPr="008942C3" w:rsidRDefault="008942C3" w:rsidP="008942C3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Leur tolérance est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active et multifactorielle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non due à un simple arrêt de croissance.</w:t>
      </w:r>
    </w:p>
    <w:p w14:paraId="7E69E3F8" w14:textId="77777777" w:rsidR="008942C3" w:rsidRPr="008942C3" w:rsidRDefault="008942C3" w:rsidP="008942C3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Ils constituent 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réservoir caché de rechute infectieuse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une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étape potentielle vers la résistance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3CB83F42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lastRenderedPageBreak/>
        <w:pict w14:anchorId="27EFF9CB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035FA398" w14:textId="77777777" w:rsidR="008942C3" w:rsidRPr="008942C3" w:rsidRDefault="008942C3" w:rsidP="008942C3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  <w:t>1) Les persisters peuvent-ils survivre indéfiniment ?</w:t>
      </w:r>
    </w:p>
    <w:p w14:paraId="07139ED1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Court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— mais la réalité est nuancée. </w:t>
      </w:r>
    </w:p>
    <w:p w14:paraId="16C06BEE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Détails et justification (ce que montre l’article) :</w:t>
      </w:r>
    </w:p>
    <w:p w14:paraId="6EF93F2F" w14:textId="77777777" w:rsidR="008942C3" w:rsidRPr="008942C3" w:rsidRDefault="008942C3" w:rsidP="008942C3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Phénotype réversible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les auteurs montrent que les cellules bactériennes qui survivent à un traitement antibiotique intracellulaire deviennent non-divisantes (persisters) mais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retrouvent une croissance normale et une sensibilité aux antibiotiques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lorsque l’antibiotique est retiré. C’est la preuve expérimentale que ce n’est pas une résistance génétique permanente mais 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état phénotypique transitoire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 </w:t>
      </w:r>
    </w:p>
    <w:p w14:paraId="6AF9D0FA" w14:textId="77777777" w:rsidR="008942C3" w:rsidRPr="008942C3" w:rsidRDefault="008942C3" w:rsidP="008942C3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Survie prolongée mais pas « éternelle » dans ces expériences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dans les expériences in vitro (macrophages J774, divers antibiotiques), une sous-population persiste « longtemps » (jours dans l’étude) et produit des courbes de tuerie biphasique caractéristiques, mais l’article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n’affirme pas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une survie indéfinie dans le temps. Les persisters restent viables tant que l’environnement intracellulaire et les stresses le permettent ; si le stress change (ex. stimulation immunitaire, conditions nutritives hostiles), leur sort changera.</w:t>
      </w:r>
    </w:p>
    <w:p w14:paraId="0CD2FE09" w14:textId="77777777" w:rsidR="008942C3" w:rsidRPr="008942C3" w:rsidRDefault="008942C3" w:rsidP="008942C3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Risque d’évolution vers la résistance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l’article souligne que, si la pression sélective (antibiotique) persiste, l’état persister peut favoriser l’émergence de résistances (via accroissement des mutations, transfert horizontal, activation de polymérases à faible fidélité et gènes de compétence). Autrement dit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les persisters ne sont pas immortels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mais peuvent servir de réservoir favorisant l’apparition de mutants résistants si l’antibiotique reste appliqué longtemps. </w:t>
      </w:r>
    </w:p>
    <w:p w14:paraId="15685273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Conclusion pédagogique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les persisters ne survivent pas « pour toujours » par essence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— c’est un état réversible. En revanche, ils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peuvent persister suffisamment longtemps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 l’hôte pour provoquer des rechutes et augmenter la probabilité d’apparition de résistances si la pression antibiotique continue ; d’où leur importance clinique.</w:t>
      </w:r>
    </w:p>
    <w:p w14:paraId="5E2FBB93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6C70F88E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780F943" w14:textId="77777777" w:rsidR="008942C3" w:rsidRDefault="008942C3" w:rsidP="008942C3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</w:pPr>
    </w:p>
    <w:p w14:paraId="49BCDDBF" w14:textId="77777777" w:rsidR="008942C3" w:rsidRDefault="008942C3" w:rsidP="008942C3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</w:pPr>
    </w:p>
    <w:p w14:paraId="683BE046" w14:textId="49E74E8A" w:rsidR="008942C3" w:rsidRPr="008942C3" w:rsidRDefault="008942C3" w:rsidP="008942C3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  <w:lastRenderedPageBreak/>
        <w:t>2) Explication détaillée des 5 méthodes principales</w:t>
      </w:r>
    </w:p>
    <w:p w14:paraId="5C17D085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Je détaille chaque méthode avec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comment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elle a été réalisée dans l’étude (réactifs/concentrations, appareillage, critères) et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ce que ça mesure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18A75828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Méthode A — Modèle in vitro d’infection cellulaire (macrophages J774 et autres cellules humaines)</w:t>
      </w:r>
    </w:p>
    <w:p w14:paraId="66EDC833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But : simuler l’environnement intracellulaire pour étudier la survie et l’effet des antibiotiques sur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S. aureus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Procédure (résumé depuis la Méthode) :</w:t>
      </w:r>
    </w:p>
    <w:p w14:paraId="4B264C48" w14:textId="77777777" w:rsidR="008942C3" w:rsidRPr="008942C3" w:rsidRDefault="008942C3" w:rsidP="008942C3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Lignée bactérienne utilisée :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S. aureus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SH1000 portant un plasmide codant GFP sous promoteur xyl/tetO ; GFP induit par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tétracycline 125 ng·mL⁻¹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 </w:t>
      </w:r>
    </w:p>
    <w:p w14:paraId="17493462" w14:textId="77777777" w:rsidR="008942C3" w:rsidRPr="008942C3" w:rsidRDefault="008942C3" w:rsidP="008942C3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Cellules hôtes : macrophages murins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J774A.1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(et différentes cellules humaines : macrophages primaires, THP-1, A549, MCF7, MG63, kératinocytes), cultivées en RPMI/DMEM selon le type. </w:t>
      </w:r>
    </w:p>
    <w:p w14:paraId="6E6B5F5A" w14:textId="77777777" w:rsidR="008942C3" w:rsidRPr="008942C3" w:rsidRDefault="008942C3" w:rsidP="008942C3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Infection : MOI typique 10:1 (adapté selon l’expérience ; MOI jusqu’à 100:1 pour RNA-seq) ; phagocytose 30–120 min selon protocole ; élimination des bactéries extracell. par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gentamicine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(50 mg·L⁻¹) 40 min puis incubation avec l’antibiotique testé (2× ou 50× MIC) pour les périodes souhaitées. Puis lyse des cellules hôtes (Triton X-100 0.1 %) et récupération des bactéries. Métriques : CFU par mg protéines cellulaires. </w:t>
      </w:r>
    </w:p>
    <w:p w14:paraId="2835F20A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Ce que la méthode mesure : capacité des bactéries à survivre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dans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la cellule hôte face à une pression antibiotique et aux contraintes intracellulaires (pH, nutriments, ROS, etc.). </w:t>
      </w:r>
    </w:p>
    <w:p w14:paraId="38932427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66FA0863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FDEC0AF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Méthode B — Suivi de division par dilution de fluorescence (Fluorescence Dilution, FD)</w:t>
      </w:r>
    </w:p>
    <w:p w14:paraId="1F92F595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But : mesurer la division bactérienne au niveau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single cell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(chaque division dilue la GFP). </w:t>
      </w:r>
    </w:p>
    <w:p w14:paraId="63E42048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Principe : induire GFP en présence de tétracycline, retirer l’inducteur et suivre la décroissance de l’intensité GFP cellulaire : quand une cellule divise, la fluorescence se répartit et la médiane GFP de la population diminue. Cela permet de distinguer cellules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non-divisantes (GFP élevée)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vs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divisantes (GFP diluée)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 </w:t>
      </w:r>
    </w:p>
    <w:p w14:paraId="41B74B1D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lastRenderedPageBreak/>
        <w:t>Détails techniques dans l’article :</w:t>
      </w:r>
    </w:p>
    <w:p w14:paraId="2FC97306" w14:textId="77777777" w:rsidR="008942C3" w:rsidRPr="008942C3" w:rsidRDefault="008942C3" w:rsidP="008942C3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Induction GFP : cultures O/N en présence de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tétracycline 125 ng·mL⁻¹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lavage pour enlever l’inducteur, puis entrée en phase exponentielle (pour expériences en bouillon) ou infection des macrophages (pour expériences intracellulaires). </w:t>
      </w:r>
    </w:p>
    <w:p w14:paraId="5E4E7EB3" w14:textId="77777777" w:rsidR="008942C3" w:rsidRPr="008942C3" w:rsidRDefault="008942C3" w:rsidP="008942C3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Lecture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cytométrie en flux (FACSVerse pour lectures, FlowJo pour analyses)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; gating pour exclure débris et PI⁺ (morts) ; médiane GFP utilisée pour calculer le facteur de réplication F = Me0/Met et déduire le nombre de générations N (F = 2^N).</w:t>
      </w:r>
    </w:p>
    <w:p w14:paraId="045F8AD9" w14:textId="77777777" w:rsidR="008942C3" w:rsidRPr="008942C3" w:rsidRDefault="008942C3" w:rsidP="008942C3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Validation : comparaison FD ↔ CFU/OD montre concordance pour ~5 générations — donc méthode validée pour estimer réplication. </w:t>
      </w:r>
    </w:p>
    <w:p w14:paraId="605E56EF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Avantage : résolution au niveau cellulaire ; permet de montrer qu’une population intracellulaire devient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uniformément non-divisante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sous pression antibiotique (preuve de persister). </w:t>
      </w:r>
    </w:p>
    <w:p w14:paraId="1E3A0031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1DA2F9E4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2262AD3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Méthode C — Comptage de CFU &amp; Time-kill (courbes de tuerie biphasique)</w:t>
      </w:r>
    </w:p>
    <w:p w14:paraId="7D459E04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But : quantifier la survie/tuérie bactérienne globale et identifier le signal caractéristique de persistance (biphasic kill curve).</w:t>
      </w:r>
    </w:p>
    <w:p w14:paraId="72CBF696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Procédure :</w:t>
      </w:r>
    </w:p>
    <w:p w14:paraId="15BFD15B" w14:textId="77777777" w:rsidR="008942C3" w:rsidRPr="008942C3" w:rsidRDefault="008942C3" w:rsidP="008942C3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Après infection et exposition aux antibiotiques (p. ex. 50× MIC), récupération des bactéries (lyse cellulaire), dilution et ensemencement sur gélose appropriée (TSA) ; compter CFU après incubation.</w:t>
      </w:r>
    </w:p>
    <w:p w14:paraId="7ACF4315" w14:textId="77777777" w:rsidR="008942C3" w:rsidRPr="008942C3" w:rsidRDefault="008942C3" w:rsidP="008942C3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Pour time-kill : échantillons à différents temps (0, 1, 6, 24, 48 h...) et tracé du log10 CFU vs temps ;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biphasic killing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= chute rapide (bactérie sensible) puis plateau ou décroissance lente (persisters). </w:t>
      </w:r>
    </w:p>
    <w:p w14:paraId="7C4D7137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Remarque : les auteurs comparent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planktonique vs intracellulaire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(le pool persistant est beaucoup plus important intracellulairement). Cela renforce l’idée que l’environnement intracellulaire favorise persisters. </w:t>
      </w:r>
    </w:p>
    <w:p w14:paraId="41FD3D19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0B38FF56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2B1DB423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lastRenderedPageBreak/>
        <w:t>Méthode D — Tri par FACS (sélection GFP⁺/PI⁻) suivi d’RNA-seq (transcriptomique)</w:t>
      </w:r>
    </w:p>
    <w:p w14:paraId="2D946434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But : obtenir un profil transcriptionnel des persisters vivants (sélectionnés) et lister voies/regulons modifiés.</w:t>
      </w:r>
    </w:p>
    <w:p w14:paraId="30D4EF4A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Procédé détaillé :</w:t>
      </w:r>
    </w:p>
    <w:p w14:paraId="73ECBFE6" w14:textId="77777777" w:rsidR="008942C3" w:rsidRPr="008942C3" w:rsidRDefault="008942C3" w:rsidP="008942C3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Isolation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après exposition (p. ex. 50× MIC oxacilline 24 h) récupérer les bactéries intracytoplasmiques, les filtrer/gater pour exclure débris, sélectionner événements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GFP+ et propidium iodide (PI)−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(vivants) sur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FACSAria III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avec refroidissement à 4 °C durant le tri. Les auteurs rapportent que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~89–92 %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des bactéries triées formaient des colonies — donc viabilité confirmée après tri.</w:t>
      </w:r>
    </w:p>
    <w:p w14:paraId="5C8AC879" w14:textId="77777777" w:rsidR="008942C3" w:rsidRPr="008942C3" w:rsidRDefault="008942C3" w:rsidP="008942C3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Extraction ARN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lyse enzymatique (lysozyme + lysostaphin), kit InviTrap Spin Universal RNA Mini Kit ; DNase TURBO pour éliminer ADN génomique ; contrôle qualité sur Bioanalyser. </w:t>
      </w:r>
    </w:p>
    <w:p w14:paraId="5339B5C7" w14:textId="77777777" w:rsidR="008942C3" w:rsidRPr="008942C3" w:rsidRDefault="008942C3" w:rsidP="008942C3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Préparation librairie &amp; séquençage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déplétion rRNA (RiboZero Bacteria), TruSeq Stranded mRNA kit, séquençage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SR 65 bp sur HiSeq 2500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3 réplicats biologiques ; pipeline bioinfo (cutadapt, bowtie, featureCounts, DESeq2). Données déposées (GEO GSE139659).</w:t>
      </w:r>
    </w:p>
    <w:p w14:paraId="67FF7BBE" w14:textId="77777777" w:rsidR="008942C3" w:rsidRPr="008942C3" w:rsidRDefault="008942C3" w:rsidP="008942C3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Analyses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identification de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1477 gènes DEGs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(710 up / 767 down), enrichissement KEGG, MA-plots, clustering hiérarchique, etc. Ces analyses révèlent activation du stringent response transitoire, CWSS, SOS et heat-shock stimulons et répression de voies de croissance/métabolisme.</w:t>
      </w:r>
    </w:p>
    <w:p w14:paraId="4F3B09CE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Pourquoi c’est important : permet d’identifier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les programmes adaptatifs actifs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chez les persisters (ils ne sont pas simplement « éteints »).</w:t>
      </w:r>
    </w:p>
    <w:p w14:paraId="26F3FF40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28858C27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799404CD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Méthode E — qRT-PCR ciblée, essais sur mutants (rsh / codY), &amp; mesurages d’ATP / néo-synthèse GFP</w:t>
      </w:r>
    </w:p>
    <w:p w14:paraId="3E892269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Cette « méthode » regroupe plusieurs techniques complémentaires qui servent à valider et affiner les conclusions.</w:t>
      </w:r>
    </w:p>
    <w:p w14:paraId="2DF9EC3D" w14:textId="77777777" w:rsidR="008942C3" w:rsidRPr="008942C3" w:rsidRDefault="008942C3" w:rsidP="008942C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qRT-PCR (validation temporelle)</w:t>
      </w:r>
    </w:p>
    <w:p w14:paraId="67E8AEAF" w14:textId="77777777" w:rsidR="008942C3" w:rsidRPr="008942C3" w:rsidRDefault="008942C3" w:rsidP="008942C3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Mesure temporelle de l’expression de régulateurs du stringent response (relP/relQ/rsh/codY) à 30 min, 2 h, 24 h. Permet détecter 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 xml:space="preserve">boost 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lastRenderedPageBreak/>
        <w:t>transitoire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du SR juste après phagocytose (ex. relQ ↑ à 30 min, relP/codY ↑ à 2 h). </w:t>
      </w:r>
    </w:p>
    <w:p w14:paraId="64825733" w14:textId="77777777" w:rsidR="008942C3" w:rsidRPr="008942C3" w:rsidRDefault="008942C3" w:rsidP="008942C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Mutants génétiques (rsh-, codY- et double)</w:t>
      </w:r>
    </w:p>
    <w:p w14:paraId="77582161" w14:textId="77777777" w:rsidR="008942C3" w:rsidRPr="008942C3" w:rsidRDefault="008942C3" w:rsidP="008942C3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Infection par souches HG001 (WT) et mutants isogéniques (Δrsh, ΔcodY, Δrsh-ΔcodY) puis mesure CFU après 24 h d’antibiotique. Résultat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moins de persisters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 les mutants — la SR contribue donc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à l’initiation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 la persistance, mais ne l’explique pas entièrement (effet variable selon l’antibiotique). </w:t>
      </w:r>
    </w:p>
    <w:p w14:paraId="0B058EFC" w14:textId="77777777" w:rsidR="008942C3" w:rsidRPr="008942C3" w:rsidRDefault="008942C3" w:rsidP="008942C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ATP measurement</w:t>
      </w:r>
    </w:p>
    <w:p w14:paraId="6F4B200D" w14:textId="77777777" w:rsidR="008942C3" w:rsidRPr="008942C3" w:rsidRDefault="008942C3" w:rsidP="008942C3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Extraction des bactéries triées, lyse, ébouillantage 2 min, centrifugation et dosage ATP par kit bioluminescence (ATP Determination Kit, Thermo Fisher) lu sur SpectraMax. Résultat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pas de différence significative d’ATP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entre persisters et témoins → les persisters intracellulaires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conservent l’ATP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ce qui contredit une simple hypothèse d’« ATP depletion = persister ».</w:t>
      </w:r>
    </w:p>
    <w:p w14:paraId="30199001" w14:textId="77777777" w:rsidR="008942C3" w:rsidRPr="008942C3" w:rsidRDefault="008942C3" w:rsidP="008942C3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Neo-synthèse GFP (test de traduction active)</w:t>
      </w:r>
    </w:p>
    <w:p w14:paraId="5FB644D0" w14:textId="77777777" w:rsidR="008942C3" w:rsidRPr="008942C3" w:rsidRDefault="008942C3" w:rsidP="008942C3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Après 24 h d’exposition à oxacilline, induction de GFP (tétracycline 125 ng·mL⁻¹) et mesure par cytométrie : les persisters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synthétisent encore de la GFP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(translation active mais réduite). Ceci indique que la traduction n’est pas complètement arrêtée chez les persisters intracellulaires.</w:t>
      </w:r>
    </w:p>
    <w:p w14:paraId="6E7AC038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24A84D3C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762D0A51" w14:textId="77777777" w:rsidR="008942C3" w:rsidRPr="008942C3" w:rsidRDefault="008942C3" w:rsidP="008942C3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fr-FR"/>
          <w14:ligatures w14:val="none"/>
        </w:rPr>
        <w:t>3) Explication détaillée figure par figure</w:t>
      </w:r>
    </w:p>
    <w:p w14:paraId="38F1CDDF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Je décris chaque figure (1 → 6), panneaux inclus, ce qu’ils montrent et quelle interprétation leur auteurs en tirent. Pour la plupart des figures j’indique les panneaux et résume leurs messages clés.</w:t>
      </w:r>
    </w:p>
    <w:p w14:paraId="2F73B503" w14:textId="77777777" w:rsidR="008942C3" w:rsidRPr="008942C3" w:rsidRDefault="008942C3" w:rsidP="008942C3">
      <w:pPr>
        <w:spacing w:after="0" w:line="360" w:lineRule="atLeast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Remarque : j’indique entre-parenthèses les références au PDF de l’article pour chaque figure afin que tu puisses les consulter (ex. Fig.1 = description et panneaux a–l).</w:t>
      </w:r>
    </w:p>
    <w:p w14:paraId="04F3F522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07CD4EA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E0FBFF1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lastRenderedPageBreak/>
        <w:t>Figure 1 — Evidence &amp; dynamique des persisters intracellulaires (panneaux a → l) </w:t>
      </w:r>
    </w:p>
    <w:p w14:paraId="5D4348EE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Fig.1a — Courbes concentration-effet (24 h) dans macrophages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Affiche la réduction en log10 CFU en fonction de la concentration d’antibiotique (oxacilline, clarithromycine, moxifloxacine). Résultat : même à fortes concentrations,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un pool tolerant persiste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intracellulairement (réduction incomplète). Interprétation : impossibilité d’épuiser complètement S. aureus intracellulaire par ces antibiotiques dans ce modèle. </w:t>
      </w:r>
    </w:p>
    <w:p w14:paraId="7951BE21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Fig.1b — Time-kill curves (planktonique vs intracellulaire)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Courbes log10 CFU vs temps à 50× MIC. En pointillés : culture en bouillon (planktonique) ; lignes pleines : intracellulaire.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Biphasic killing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apparaissant dans les deux, mais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plus de persisters intracellulaires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(plateau plus haut). C’est la preuve expérimentale de persistance intracellulaire. </w:t>
      </w:r>
    </w:p>
    <w:p w14:paraId="4FF7F8DD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Fig.1c,d,e — Validation de la méthode FD (fluorescence dilution)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c = histogrammes cytométriques de la décroissance GFP au cours de la croissance en bouillon ; d = micrographies épifluorescentes correspondantes ; e = courbes de réplication obtenues par FD vs OD (doubling times similaires). Conclusion : FD est valide pour suivre la division. </w:t>
      </w:r>
    </w:p>
    <w:p w14:paraId="7713204E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Fig.1f — Confocal d’infections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Images confocal de macrophages infectés et traités (p.ex. moxifloxacine 50× MIC) montrant des bactéries avec signaux GFP non dilués (non-divisants) — preuve visuelle au niveau cellulaire. </w:t>
      </w:r>
    </w:p>
    <w:p w14:paraId="33CB515D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Fig.1g — Profils cytométriques des bactéries récupérées de macrophages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Profils GFP des bactéries extraites après exposition à 2× ou 50× MIC sur 48 h : à forte pression, population homogène non-divisante — signature persister. </w:t>
      </w:r>
    </w:p>
    <w:p w14:paraId="19FD2E62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Fig.1h,i — Reversibilité in vitro (tri puis ré-enrichissement en bouillon)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h = activité d’oxacilline sur bactéries récupérées vs contrôle ; i = time-kill pour bactéries récupérées après 24 h intracellulaire. Les bactéries triées non-divisantes redeviennent sensibles et retrouvent courbes biphasées en bouillon →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réversibilité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du phénotype persister. </w:t>
      </w:r>
    </w:p>
    <w:p w14:paraId="20E93806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Fig.1j — Remise en condition sans antibiotique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Histogramme GFP : après lavage du médicament et incubation supplémentaire, la population montre dilution GFP (reprise de division) — confirmation que la remise en croissance survient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intracellulairement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après retrait de la pression. </w:t>
      </w:r>
    </w:p>
    <w:p w14:paraId="2E171087" w14:textId="77777777" w:rsidR="008942C3" w:rsidRPr="008942C3" w:rsidRDefault="008942C3" w:rsidP="008942C3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Fig.1k,l — Comparaison cellules J774 vs macrophages humains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br/>
        <w:t>k : profils GFP; l : inoculum intracellulaire avec/ sans 50× MIC oxacilline. Résultat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les macrophages humains sont moins permissifs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à la réplication intracellulaire que J774, et donc peuvent héberger moins de persisters spontanés — mais le phénomène est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général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(observé dans plusieurs types cellulaires). </w:t>
      </w:r>
    </w:p>
    <w:p w14:paraId="45E1D66C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lastRenderedPageBreak/>
        <w:t>Message principal de la Fig.1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existence d’un pool intracellulaire de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S. aureus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tolérant aux antibiotiques, non-divisant mais viable, et réversible — signature des persisters. </w:t>
      </w:r>
    </w:p>
    <w:p w14:paraId="03EBBCBD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417405D1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05B4476D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Figure 2 — Profil transcriptomique global des persisters (heatmap + enrichment)</w:t>
      </w:r>
    </w:p>
    <w:p w14:paraId="7024CCE1" w14:textId="77777777" w:rsidR="008942C3" w:rsidRPr="008942C3" w:rsidRDefault="008942C3" w:rsidP="008942C3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Fig.2a — Schéma expérimental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tri GFP+/PI− après 50× MIC oxacilline 24 h, extraction ARN, RNA-seq (3 réplicats). Les auteurs notent que 89–92 % des triés formaient des colonies — confirme viabilité. </w:t>
      </w:r>
    </w:p>
    <w:p w14:paraId="4ED4BAFD" w14:textId="77777777" w:rsidR="008942C3" w:rsidRPr="008942C3" w:rsidRDefault="008942C3" w:rsidP="008942C3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Fig.2b — Heatmap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clustering hiérarchique des 1477 DEGs (710 up, 767 down) montrant séparation nette entre persisters et contrôles — indication d’un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remaniement transcriptionnel profond et cohérent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dans les réplicats. </w:t>
      </w:r>
    </w:p>
    <w:p w14:paraId="5216614A" w14:textId="77777777" w:rsidR="008942C3" w:rsidRPr="008942C3" w:rsidRDefault="008942C3" w:rsidP="008942C3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Fig.2c — Enrichissement KEGG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majorité des fonctions enrichies en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down-regulation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sont liées au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métabolisme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(nucleotide metabolism, AA biosynthesis, OxPhos), tandis que certaines voies (p.ex. galactose metabolism) sont up-regulées — signe d’un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re-routage métabolique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(shift carbon source).</w:t>
      </w:r>
    </w:p>
    <w:p w14:paraId="3F9F2482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Message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persisters effectuent une large reprogrammation transcriptionnelle — baisse des programmes de prolifération, activation de voies de stress/adaptation. </w:t>
      </w:r>
    </w:p>
    <w:p w14:paraId="574853C9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57503193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CC32794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Figure 3 — Rôle transitoire du stringent response et traduction partiellement active</w:t>
      </w:r>
    </w:p>
    <w:p w14:paraId="35D21F46" w14:textId="77777777" w:rsidR="008942C3" w:rsidRPr="008942C3" w:rsidRDefault="008942C3" w:rsidP="008942C3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Fig.3a — qRT-PCR temporelle des régulateurs SR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relQ ↑ à 30 min post-phagocytose ; relP, codY, et un peu rsh ↑ à 2 h. Cela montre 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boost transitoire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du SR juste après l’entrée en cellule. </w:t>
      </w:r>
    </w:p>
    <w:p w14:paraId="59069758" w14:textId="77777777" w:rsidR="008942C3" w:rsidRPr="008942C3" w:rsidRDefault="008942C3" w:rsidP="008942C3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Fig.3b — Mutants Δrsh/ΔcodY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après 24 h d’antibiotique, les mutants affichent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moins de persisters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que la souche sauvage (effet variable selon l’antibiotique) — la SR participe donc à l’initiation de persistance mais n’en est pas l’unique moteur. </w:t>
      </w:r>
    </w:p>
    <w:p w14:paraId="6CE8FFC8" w14:textId="77777777" w:rsidR="008942C3" w:rsidRPr="008942C3" w:rsidRDefault="008942C3" w:rsidP="008942C3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Fig.3c — MA-plot traduction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transcription « dysrégulée » des gènes de traduction : certains composants activés, d’autres (aminoacyl-tRNA synthetases) fortement réprimés — pas un shutdown total mais une réorientation de la traduction. </w:t>
      </w:r>
    </w:p>
    <w:p w14:paraId="41A97C50" w14:textId="77777777" w:rsidR="008942C3" w:rsidRPr="008942C3" w:rsidRDefault="008942C3" w:rsidP="008942C3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lastRenderedPageBreak/>
        <w:t>Fig.3d — Neo-synthèse GFP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induction après traitement montre que les persisters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sont capables de synthèse protéique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— traduction réduite mais fonctionnelle. </w:t>
      </w:r>
    </w:p>
    <w:p w14:paraId="1E12EF0B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Message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SR a un rôle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d’initiateur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(transitoire) du switch vers persistance ; les cellules ne sont pas complètement arrêtées en traduction.</w:t>
      </w:r>
    </w:p>
    <w:p w14:paraId="576934A3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61F78057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A154187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Figure 4 — Persisters : pas de pénurie ATP / pas de carence en acides aminés ; modifications métaboliques</w:t>
      </w:r>
    </w:p>
    <w:p w14:paraId="1C7FE2F6" w14:textId="77777777" w:rsidR="008942C3" w:rsidRPr="008942C3" w:rsidRDefault="008942C3" w:rsidP="008942C3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Fig.4a — Mesure ATP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pas de différence significative d’ATP entre persisters et contrôle (les auteurs contrôlent l’absence d’ATP eucaryote contaminant). Interprétation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la persistance ici n’est pas provoquée par une déplétion d’ATP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 </w:t>
      </w:r>
    </w:p>
    <w:p w14:paraId="7132C810" w14:textId="77777777" w:rsidR="008942C3" w:rsidRPr="008942C3" w:rsidRDefault="008942C3" w:rsidP="008942C3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Fig.4b — Schéma métabolique (gènes glycolyse/TCA/fermentation)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log2FC des gènes montre 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shift carbon source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(activation voies galactose/lactose, fermentation D-lactate) et une répression de l’oxydative phosphorylation → respiration réduite mais routes fermentaires actives. </w:t>
      </w:r>
    </w:p>
    <w:p w14:paraId="4431FFB4" w14:textId="77777777" w:rsidR="008942C3" w:rsidRPr="008942C3" w:rsidRDefault="008942C3" w:rsidP="008942C3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Fig.4c,d — AA metabolism (SR stimulon)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la plupart des gènes d’anabolisme AA sont silencieux → pas d’activation typique d’un SR complet par manque d’AAs ; qRT-PCR montre que ces gènes restent bas. Conclusion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pas d’indication d’une limitation en acides aminés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comme déclencheur.</w:t>
      </w:r>
    </w:p>
    <w:p w14:paraId="4D2B79D3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Message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persisters intracellulaires sont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métaboliquement actifs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mais reconfigurés — maintien ATP, fermentation accrue, pas de carence AA évidente.</w:t>
      </w:r>
    </w:p>
    <w:p w14:paraId="17ED80E7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486A0AB7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D76CAF4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Figure 5 — Réseau d’adaptations redondantes → tolérance multi-médicament</w:t>
      </w:r>
    </w:p>
    <w:p w14:paraId="2154AC7D" w14:textId="77777777" w:rsidR="008942C3" w:rsidRPr="008942C3" w:rsidRDefault="008942C3" w:rsidP="008942C3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Fig.5a — Expériences « antibiotique A puis B »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si persisters sont induits par oxacilline (24 h), puis exposés à un autre antibiotique (moxi, clarithro, gentamicine) soit simultanément soit après, on observe :</w:t>
      </w:r>
    </w:p>
    <w:p w14:paraId="4869F394" w14:textId="77777777" w:rsidR="008942C3" w:rsidRPr="008942C3" w:rsidRDefault="008942C3" w:rsidP="008942C3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Simultané : plus d’effet (combinaison) ;</w:t>
      </w:r>
    </w:p>
    <w:p w14:paraId="23B24923" w14:textId="77777777" w:rsidR="008942C3" w:rsidRPr="008942C3" w:rsidRDefault="008942C3" w:rsidP="008942C3">
      <w:pPr>
        <w:numPr>
          <w:ilvl w:val="1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ajouté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après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induction par OXA :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aucune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réduction supplémentaire — l’oxacilline a déjà induit un état de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tolérance croisée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 xml:space="preserve">. Interprétation : 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lastRenderedPageBreak/>
        <w:t>exposition à un seul antibiotique peut activer un programme conférant tolérance multiple. </w:t>
      </w:r>
    </w:p>
    <w:p w14:paraId="09AC8B6D" w14:textId="77777777" w:rsidR="008942C3" w:rsidRPr="008942C3" w:rsidRDefault="008942C3" w:rsidP="008942C3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Fig.5b — MA-plot peptidoglycan biosynthesis/CWSS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induction de vraS/vraR, pbp2, sgtB, fmtA → activation du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Cell Wall Stress Stimulon (CWSS)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, qui protège contre β-lactamines. </w:t>
      </w:r>
    </w:p>
    <w:p w14:paraId="3B6D818E" w14:textId="77777777" w:rsidR="008942C3" w:rsidRPr="008942C3" w:rsidRDefault="008942C3" w:rsidP="008942C3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Fig.5c,d — SOS response / DNA repair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upregulation de recA, lexA, uvrA/B, pols à faible fidélité — ceci peut contribuer à tolérance aux fluoroquinolones et augmenter mutations. </w:t>
      </w:r>
    </w:p>
    <w:p w14:paraId="730FFDD3" w14:textId="77777777" w:rsidR="008942C3" w:rsidRPr="008942C3" w:rsidRDefault="008942C3" w:rsidP="008942C3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Fig.5e — Heat shock stimulon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forte induction groESL, dnaK, grpE — chaperonnes et machinerie de repliement dégradent et réparent protéines endommagées, aidant tolérance à plusieurs classes (β-lactams, aminoglycosides, macrolides). </w:t>
      </w:r>
    </w:p>
    <w:p w14:paraId="47896E4E" w14:textId="77777777" w:rsidR="008942C3" w:rsidRPr="008942C3" w:rsidRDefault="008942C3" w:rsidP="008942C3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Fig.5f — Effet des mutations rsh/codY sur ces stimulons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SR module positivement SOS et CWSS (partiellement), mais ne contrôle pas entièrement la heat-shock response — indique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chevauchement et redondance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entre ces régulons. </w:t>
      </w:r>
    </w:p>
    <w:p w14:paraId="7E597A54" w14:textId="77777777" w:rsidR="008942C3" w:rsidRPr="008942C3" w:rsidRDefault="008942C3" w:rsidP="008942C3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Message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: persisters intracellulaires activent un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mosaïque de réponses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(CWSS, SOS, heat-shock, modifications métaboliques) qui, ensemble, produisent une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tolérance multi-classe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après exposition à un seul antibiotique.</w:t>
      </w:r>
    </w:p>
    <w:p w14:paraId="49B6DA1B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059650E3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6DA25BD" w14:textId="77777777" w:rsidR="008942C3" w:rsidRPr="008942C3" w:rsidRDefault="008942C3" w:rsidP="008942C3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Figure 6 — Modèle conceptuel récapitulatif </w:t>
      </w:r>
    </w:p>
    <w:p w14:paraId="79E674A9" w14:textId="77777777" w:rsidR="008942C3" w:rsidRPr="008942C3" w:rsidRDefault="008942C3" w:rsidP="008942C3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Schéma intégratif montrant : stress intracellulaire + antibiotique →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boost transitoire SR (p)ppGpp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→ arrêt quasi-immédiat de la division + réorientation transcriptionnelle → activation CWSS / SOS / Heat-shock / modifications métaboliques →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tolérance multiple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survie prolongée. Le schéma souligne la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plasticité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et la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redondance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des circuits ; selon la durée/ampleur du stress, la population peut soit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revenir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à un état réplicatif (si stress cesse), soit </w:t>
      </w: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favoriser l’émergence de résistances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(si pression continue). </w:t>
      </w:r>
    </w:p>
    <w:p w14:paraId="19166FA8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261C739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CC6480A" w14:textId="77777777" w:rsidR="008942C3" w:rsidRPr="008942C3" w:rsidRDefault="008942C3" w:rsidP="008942C3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:lang w:eastAsia="fr-FR"/>
          <w14:ligatures w14:val="none"/>
        </w:rPr>
        <w:t>Synthèse visuelle utile pour ta présentation (concis)</w:t>
      </w:r>
    </w:p>
    <w:p w14:paraId="2DC67077" w14:textId="77777777" w:rsidR="008942C3" w:rsidRPr="008942C3" w:rsidRDefault="008942C3" w:rsidP="008942C3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Fig.1 :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preuve et dynamique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(FD + CFU + reversibilité). </w:t>
      </w:r>
    </w:p>
    <w:p w14:paraId="30D54DFD" w14:textId="77777777" w:rsidR="008942C3" w:rsidRPr="008942C3" w:rsidRDefault="008942C3" w:rsidP="008942C3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Fig.2 :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transcriptome massif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(1477 DEGs, réorientation métabolique). </w:t>
      </w:r>
    </w:p>
    <w:p w14:paraId="021DA4B4" w14:textId="77777777" w:rsidR="008942C3" w:rsidRPr="008942C3" w:rsidRDefault="008942C3" w:rsidP="008942C3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lastRenderedPageBreak/>
        <w:t>Fig.3 :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SR = déclencheur transitoire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; traduction partiellement active.</w:t>
      </w:r>
    </w:p>
    <w:p w14:paraId="46442CEF" w14:textId="77777777" w:rsidR="008942C3" w:rsidRPr="008942C3" w:rsidRDefault="008942C3" w:rsidP="008942C3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Fig.4 :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ATP ok, pas d’AA limit, shift métabolique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</w:t>
      </w:r>
    </w:p>
    <w:p w14:paraId="407CB8B9" w14:textId="77777777" w:rsidR="008942C3" w:rsidRPr="008942C3" w:rsidRDefault="008942C3" w:rsidP="008942C3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Fig.5 :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CWSS / SOS / heatshock → tolérance multi-classe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 </w:t>
      </w:r>
    </w:p>
    <w:p w14:paraId="0BC77145" w14:textId="77777777" w:rsidR="008942C3" w:rsidRPr="008942C3" w:rsidRDefault="008942C3" w:rsidP="008942C3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Fig.6 :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modèle intégratif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. </w:t>
      </w:r>
    </w:p>
    <w:p w14:paraId="7D51124B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110020B7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A37CA39" w14:textId="77777777" w:rsidR="008942C3" w:rsidRPr="008942C3" w:rsidRDefault="008942C3" w:rsidP="008942C3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eastAsia="fr-FR"/>
          <w14:ligatures w14:val="none"/>
        </w:rPr>
        <w:t>Références directes à l’article (pour tes slides / mémoire)</w:t>
      </w:r>
    </w:p>
    <w:p w14:paraId="3955B3AA" w14:textId="77777777" w:rsidR="008942C3" w:rsidRPr="008942C3" w:rsidRDefault="008942C3" w:rsidP="008942C3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Article cité : Peyrusson F. et al.,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Nature Communications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2020, “Intracellular </w:t>
      </w:r>
      <w:r w:rsidRPr="008942C3">
        <w:rPr>
          <w:rFonts w:ascii="Segoe UI" w:eastAsia="Times New Roman" w:hAnsi="Segoe UI" w:cs="Segoe UI"/>
          <w:i/>
          <w:iCs/>
          <w:color w:val="0D0D0D"/>
          <w:kern w:val="0"/>
          <w:lang w:eastAsia="fr-FR"/>
          <w14:ligatures w14:val="none"/>
        </w:rPr>
        <w:t>Staphylococcus aureus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persisters upon antibiotic exposure”. DOI dans le pdf. </w:t>
      </w:r>
    </w:p>
    <w:p w14:paraId="27DA5B20" w14:textId="77777777" w:rsidR="008942C3" w:rsidRPr="008942C3" w:rsidRDefault="008942C3" w:rsidP="008942C3">
      <w:pPr>
        <w:numPr>
          <w:ilvl w:val="0"/>
          <w:numId w:val="26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Données RNA-seq disponibles (GEO accession mentionné dans méthodes). </w:t>
      </w:r>
    </w:p>
    <w:p w14:paraId="7EE69058" w14:textId="77777777" w:rsidR="008942C3" w:rsidRPr="008942C3" w:rsidRDefault="007C51AC" w:rsidP="008942C3">
      <w:pPr>
        <w:spacing w:before="720" w:after="72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7C51AC">
        <w:rPr>
          <w:rFonts w:ascii="Segoe UI" w:eastAsia="Times New Roman" w:hAnsi="Segoe UI" w:cs="Segoe UI"/>
          <w:noProof/>
          <w:color w:val="0D0D0D"/>
          <w:kern w:val="0"/>
          <w:lang w:eastAsia="fr-FR"/>
        </w:rPr>
        <w:pict w14:anchorId="090C531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E3C893C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Si tu veux, je peux maintenant (choisis une option) :</w:t>
      </w:r>
    </w:p>
    <w:p w14:paraId="2369BA03" w14:textId="77777777" w:rsidR="008942C3" w:rsidRPr="008942C3" w:rsidRDefault="008942C3" w:rsidP="008942C3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Rédiger une fiche-mémoire (1 page A4)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résumant ces 3 points avec figures clés et citations pour ta soutenance ;</w:t>
      </w:r>
    </w:p>
    <w:p w14:paraId="2A11B844" w14:textId="77777777" w:rsidR="008942C3" w:rsidRPr="008942C3" w:rsidRDefault="008942C3" w:rsidP="008942C3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Faire un diaporama (5–8 slides)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prêt à présenter (introduction, méthodes, résultats principaux, modèle, conclusion) ; je peux structurer le contenu slide par slide ;</w:t>
      </w:r>
    </w:p>
    <w:p w14:paraId="04D6E4DE" w14:textId="77777777" w:rsidR="008942C3" w:rsidRPr="008942C3" w:rsidRDefault="008942C3" w:rsidP="008942C3">
      <w:pPr>
        <w:numPr>
          <w:ilvl w:val="0"/>
          <w:numId w:val="27"/>
        </w:numPr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b/>
          <w:bCs/>
          <w:color w:val="0D0D0D"/>
          <w:kern w:val="0"/>
          <w:lang w:eastAsia="fr-FR"/>
          <w14:ligatures w14:val="none"/>
        </w:rPr>
        <w:t>Préparer des questions potentielles d’examinateur + réponses</w:t>
      </w: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 (utile pour la soutenance).</w:t>
      </w:r>
    </w:p>
    <w:p w14:paraId="4316DC29" w14:textId="77777777" w:rsidR="008942C3" w:rsidRPr="008942C3" w:rsidRDefault="008942C3" w:rsidP="008942C3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0D0D0D"/>
          <w:kern w:val="0"/>
          <w:lang w:eastAsia="fr-FR"/>
          <w14:ligatures w14:val="none"/>
        </w:rPr>
        <w:t>Dis-moi laquelle tu veux et je la produis aussitôt.</w:t>
      </w:r>
    </w:p>
    <w:p w14:paraId="5F08DD9F" w14:textId="77777777" w:rsidR="008942C3" w:rsidRPr="008942C3" w:rsidRDefault="008942C3" w:rsidP="008942C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8942C3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722AF699" w14:textId="77777777" w:rsidR="008942C3" w:rsidRPr="008942C3" w:rsidRDefault="008942C3" w:rsidP="008942C3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5D5D5D"/>
          <w:kern w:val="0"/>
          <w:sz w:val="21"/>
          <w:szCs w:val="21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5D5D5D"/>
          <w:kern w:val="0"/>
          <w:sz w:val="21"/>
          <w:szCs w:val="21"/>
          <w:lang w:eastAsia="fr-FR"/>
          <w14:ligatures w14:val="none"/>
        </w:rPr>
        <w:t>“Détails et justification (ce que montre l’article) :”</w:t>
      </w:r>
    </w:p>
    <w:p w14:paraId="7543439D" w14:textId="77777777" w:rsidR="008942C3" w:rsidRPr="008942C3" w:rsidRDefault="008942C3" w:rsidP="008942C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8942C3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3085DDCA" w14:textId="77777777" w:rsidR="008942C3" w:rsidRPr="008942C3" w:rsidRDefault="008942C3" w:rsidP="008942C3">
      <w:pPr>
        <w:spacing w:after="0" w:line="240" w:lineRule="auto"/>
        <w:jc w:val="center"/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</w:pPr>
      <w:r w:rsidRPr="008942C3">
        <w:rPr>
          <w:rFonts w:ascii="Segoe UI" w:eastAsia="Times New Roman" w:hAnsi="Segoe UI" w:cs="Segoe UI"/>
          <w:color w:val="5D5D5D"/>
          <w:kern w:val="0"/>
          <w:sz w:val="18"/>
          <w:szCs w:val="18"/>
          <w:lang w:eastAsia="fr-FR"/>
          <w14:ligatures w14:val="none"/>
        </w:rPr>
        <w:t>ChatGPT peut commettre des erreurs. Il est recommandé de vérifier les informations importantes. Voir les préférences en matière de cookies.</w:t>
      </w:r>
    </w:p>
    <w:p w14:paraId="1A9A5CAF" w14:textId="77777777" w:rsidR="008942C3" w:rsidRPr="008942C3" w:rsidRDefault="008942C3" w:rsidP="00894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9D935EB" w14:textId="77777777" w:rsidR="00316300" w:rsidRDefault="00316300"/>
    <w:sectPr w:rsidR="00316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4C5"/>
    <w:multiLevelType w:val="multilevel"/>
    <w:tmpl w:val="8F3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85FF1"/>
    <w:multiLevelType w:val="multilevel"/>
    <w:tmpl w:val="D4F4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EF5A9C"/>
    <w:multiLevelType w:val="multilevel"/>
    <w:tmpl w:val="B61E2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C19E1"/>
    <w:multiLevelType w:val="multilevel"/>
    <w:tmpl w:val="AD148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C2654"/>
    <w:multiLevelType w:val="multilevel"/>
    <w:tmpl w:val="4ED2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E30AEE"/>
    <w:multiLevelType w:val="multilevel"/>
    <w:tmpl w:val="E958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7178C7"/>
    <w:multiLevelType w:val="multilevel"/>
    <w:tmpl w:val="99D4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5C4CE7"/>
    <w:multiLevelType w:val="multilevel"/>
    <w:tmpl w:val="0CDCB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86161"/>
    <w:multiLevelType w:val="multilevel"/>
    <w:tmpl w:val="051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6148C0"/>
    <w:multiLevelType w:val="multilevel"/>
    <w:tmpl w:val="7EA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D46A07"/>
    <w:multiLevelType w:val="multilevel"/>
    <w:tmpl w:val="CA7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3618F3"/>
    <w:multiLevelType w:val="multilevel"/>
    <w:tmpl w:val="D1D8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0F5C0C"/>
    <w:multiLevelType w:val="multilevel"/>
    <w:tmpl w:val="F2F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9A60AF"/>
    <w:multiLevelType w:val="multilevel"/>
    <w:tmpl w:val="EF08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9E47AF"/>
    <w:multiLevelType w:val="multilevel"/>
    <w:tmpl w:val="A24A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0C46B0"/>
    <w:multiLevelType w:val="multilevel"/>
    <w:tmpl w:val="419A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A609EB"/>
    <w:multiLevelType w:val="multilevel"/>
    <w:tmpl w:val="4C72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840210"/>
    <w:multiLevelType w:val="multilevel"/>
    <w:tmpl w:val="AA78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B21C6F"/>
    <w:multiLevelType w:val="multilevel"/>
    <w:tmpl w:val="00C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C039EA"/>
    <w:multiLevelType w:val="multilevel"/>
    <w:tmpl w:val="229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EF31E4"/>
    <w:multiLevelType w:val="multilevel"/>
    <w:tmpl w:val="703A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1E0DF4"/>
    <w:multiLevelType w:val="multilevel"/>
    <w:tmpl w:val="E5C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6926C7"/>
    <w:multiLevelType w:val="multilevel"/>
    <w:tmpl w:val="A0E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B77508"/>
    <w:multiLevelType w:val="multilevel"/>
    <w:tmpl w:val="FAAC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E56538"/>
    <w:multiLevelType w:val="multilevel"/>
    <w:tmpl w:val="B4B0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672F2F"/>
    <w:multiLevelType w:val="multilevel"/>
    <w:tmpl w:val="93E0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CE4DCE"/>
    <w:multiLevelType w:val="multilevel"/>
    <w:tmpl w:val="3738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2628426">
    <w:abstractNumId w:val="3"/>
  </w:num>
  <w:num w:numId="2" w16cid:durableId="1238637310">
    <w:abstractNumId w:val="6"/>
  </w:num>
  <w:num w:numId="3" w16cid:durableId="256603609">
    <w:abstractNumId w:val="8"/>
  </w:num>
  <w:num w:numId="4" w16cid:durableId="290980562">
    <w:abstractNumId w:val="18"/>
  </w:num>
  <w:num w:numId="5" w16cid:durableId="2039966231">
    <w:abstractNumId w:val="17"/>
  </w:num>
  <w:num w:numId="6" w16cid:durableId="1048535297">
    <w:abstractNumId w:val="15"/>
  </w:num>
  <w:num w:numId="7" w16cid:durableId="2141145110">
    <w:abstractNumId w:val="9"/>
  </w:num>
  <w:num w:numId="8" w16cid:durableId="1396471451">
    <w:abstractNumId w:val="7"/>
  </w:num>
  <w:num w:numId="9" w16cid:durableId="671840802">
    <w:abstractNumId w:val="21"/>
  </w:num>
  <w:num w:numId="10" w16cid:durableId="1948387884">
    <w:abstractNumId w:val="10"/>
  </w:num>
  <w:num w:numId="11" w16cid:durableId="1511136077">
    <w:abstractNumId w:val="25"/>
  </w:num>
  <w:num w:numId="12" w16cid:durableId="1101339444">
    <w:abstractNumId w:val="5"/>
  </w:num>
  <w:num w:numId="13" w16cid:durableId="343748202">
    <w:abstractNumId w:val="12"/>
  </w:num>
  <w:num w:numId="14" w16cid:durableId="1537426598">
    <w:abstractNumId w:val="16"/>
  </w:num>
  <w:num w:numId="15" w16cid:durableId="52705389">
    <w:abstractNumId w:val="11"/>
  </w:num>
  <w:num w:numId="16" w16cid:durableId="453837847">
    <w:abstractNumId w:val="26"/>
  </w:num>
  <w:num w:numId="17" w16cid:durableId="419105734">
    <w:abstractNumId w:val="4"/>
  </w:num>
  <w:num w:numId="18" w16cid:durableId="807163595">
    <w:abstractNumId w:val="14"/>
  </w:num>
  <w:num w:numId="19" w16cid:durableId="1021320970">
    <w:abstractNumId w:val="1"/>
  </w:num>
  <w:num w:numId="20" w16cid:durableId="347297662">
    <w:abstractNumId w:val="24"/>
  </w:num>
  <w:num w:numId="21" w16cid:durableId="1736583139">
    <w:abstractNumId w:val="13"/>
  </w:num>
  <w:num w:numId="22" w16cid:durableId="396174604">
    <w:abstractNumId w:val="22"/>
  </w:num>
  <w:num w:numId="23" w16cid:durableId="2082948482">
    <w:abstractNumId w:val="0"/>
  </w:num>
  <w:num w:numId="24" w16cid:durableId="1298956195">
    <w:abstractNumId w:val="20"/>
  </w:num>
  <w:num w:numId="25" w16cid:durableId="1120762029">
    <w:abstractNumId w:val="23"/>
  </w:num>
  <w:num w:numId="26" w16cid:durableId="1783106640">
    <w:abstractNumId w:val="19"/>
  </w:num>
  <w:num w:numId="27" w16cid:durableId="833954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C3"/>
    <w:rsid w:val="00213395"/>
    <w:rsid w:val="00316300"/>
    <w:rsid w:val="003E632B"/>
    <w:rsid w:val="00631CD4"/>
    <w:rsid w:val="007C51AC"/>
    <w:rsid w:val="008942C3"/>
    <w:rsid w:val="009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E6B15"/>
  <w15:chartTrackingRefBased/>
  <w15:docId w15:val="{E5BD57AF-B02D-B540-B84E-1BB2A2CD6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9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9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9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9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94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942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8942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8942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42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42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42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42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42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42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42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42C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semiHidden/>
    <w:unhideWhenUsed/>
    <w:rsid w:val="008942C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94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8942C3"/>
    <w:rPr>
      <w:b/>
      <w:bCs/>
    </w:rPr>
  </w:style>
  <w:style w:type="character" w:styleId="Accentuation">
    <w:name w:val="Emphasis"/>
    <w:basedOn w:val="Policepardfaut"/>
    <w:uiPriority w:val="20"/>
    <w:qFormat/>
    <w:rsid w:val="008942C3"/>
    <w:rPr>
      <w:i/>
      <w:iCs/>
    </w:rPr>
  </w:style>
  <w:style w:type="character" w:customStyle="1" w:styleId="flex">
    <w:name w:val="flex"/>
    <w:basedOn w:val="Policepardfaut"/>
    <w:rsid w:val="008942C3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8942C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8942C3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flex-1">
    <w:name w:val="flex-1"/>
    <w:basedOn w:val="Policepardfaut"/>
    <w:rsid w:val="008942C3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8942C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8942C3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3520</Words>
  <Characters>19363</Characters>
  <Application>Microsoft Office Word</Application>
  <DocSecurity>0</DocSecurity>
  <Lines>161</Lines>
  <Paragraphs>45</Paragraphs>
  <ScaleCrop>false</ScaleCrop>
  <Company/>
  <LinksUpToDate>false</LinksUpToDate>
  <CharactersWithSpaces>22838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Donatien Wallaert</dc:creator>
  <cp:keywords/>
  <dc:description/>
  <cp:lastModifiedBy>Donatien Wallaert</cp:lastModifiedBy>
  <cp:revision>1</cp:revision>
  <dcterms:created xsi:type="dcterms:W3CDTF">2025-10-17T12:02:00Z</dcterms:created>
  <dcterms:modified xsi:type="dcterms:W3CDTF">2025-10-17T12:03:00Z</dcterms:modified>
</cp:coreProperties>
</file>