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aps/>
          <w:color w:val="A08A4E"/>
          <w:spacing w:val="80"/>
          <w:sz w:val="18"/>
          <w:szCs w:val="18"/>
        </w:rPr>
        <w:t xml:space="preserve">BLOG DRAFTS FOR REVIEW</w:t>
      </w:r>
    </w:p>
    <w:p>
      <w:pPr>
        <w:spacing w:after="80"/>
      </w:pPr>
      <w:r>
        <w:rPr>
          <w:rFonts w:ascii="Arial" w:cs="Arial" w:eastAsia="Arial" w:hAnsi="Arial"/>
          <w:b/>
          <w:bCs/>
          <w:color w:val="0C1C30"/>
          <w:sz w:val="36"/>
          <w:szCs w:val="36"/>
        </w:rPr>
        <w:t xml:space="preserve">Week of March 23-29, 2026</w:t>
      </w:r>
    </w:p>
    <w:p>
      <w:pPr>
        <w:pBdr>
          <w:bottom w:val="single" w:color="A08A4E" w:sz="4" w:space="8"/>
        </w:pBdr>
        <w:spacing w:after="200"/>
      </w:pPr>
      <w:r>
        <w:rPr>
          <w:rFonts w:ascii="Arial" w:cs="Arial" w:eastAsia="Arial" w:hAnsi="Arial"/>
          <w:color w:val="5C5C5C"/>
          <w:sz w:val="22"/>
          <w:szCs w:val="22"/>
        </w:rPr>
        <w:t xml:space="preserve">7 posts ready for review. Edit directly in this document or reply with feedback. Posts will auto-publish on their scheduled dates if no edits are received within 48 hours.</w:t>
      </w:r>
    </w:p>
    <w:p>
      <w:pPr>
        <w:spacing w:after="160" w:before="200"/>
      </w:pPr>
      <w:r>
        <w:rPr>
          <w:rFonts w:ascii="Arial" w:cs="Arial" w:eastAsia="Arial" w:hAnsi="Arial"/>
          <w:b/>
          <w:bCs/>
          <w:color w:val="0C1C30"/>
          <w:sz w:val="24"/>
          <w:szCs w:val="24"/>
        </w:rPr>
        <w:t xml:space="preserve">Week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1600"/>
        <w:gridCol w:w="1600"/>
      </w:tblGrid>
      <w:tr>
        <w:tc>
          <w:tcPr>
            <w:tcW w:type="dxa" w:w="1800"/>
            <w:tcBorders>
              <w:top w:val="single" w:color="E0DCD4" w:sz="1"/>
              <w:left w:val="single" w:color="E0DCD4" w:sz="1"/>
              <w:bottom w:val="single" w:color="E0DCD4" w:sz="1"/>
              <w:right w:val="single" w:color="E0DCD4" w:sz="1"/>
            </w:tcBorders>
            <w:shd w:fill="0C1C30"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4360"/>
            <w:tcBorders>
              <w:top w:val="single" w:color="E0DCD4" w:sz="1"/>
              <w:left w:val="single" w:color="E0DCD4" w:sz="1"/>
              <w:bottom w:val="single" w:color="E0DCD4" w:sz="1"/>
              <w:right w:val="single" w:color="E0DCD4" w:sz="1"/>
            </w:tcBorders>
            <w:shd w:fill="0C1C30"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1600"/>
            <w:tcBorders>
              <w:top w:val="single" w:color="E0DCD4" w:sz="1"/>
              <w:left w:val="single" w:color="E0DCD4" w:sz="1"/>
              <w:bottom w:val="single" w:color="E0DCD4" w:sz="1"/>
              <w:right w:val="single" w:color="E0DCD4" w:sz="1"/>
            </w:tcBorders>
            <w:shd w:fill="0C1C30"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600"/>
            <w:tcBorders>
              <w:top w:val="single" w:color="E0DCD4" w:sz="1"/>
              <w:left w:val="single" w:color="E0DCD4" w:sz="1"/>
              <w:bottom w:val="single" w:color="E0DCD4" w:sz="1"/>
              <w:right w:val="single" w:color="E0DCD4" w:sz="1"/>
            </w:tcBorders>
            <w:shd w:fill="0C1C30" w:val="clear"/>
            <w:tcMar>
              <w:top w:type="dxa" w:w="80"/>
              <w:left w:type="dxa" w:w="120"/>
              <w:bottom w:type="dxa" w:w="80"/>
              <w:right w:type="dxa" w:w="120"/>
            </w:tcMar>
          </w:tcPr>
          <w:p>
            <w:r>
              <w:rPr>
                <w:rFonts w:ascii="Arial" w:cs="Arial" w:eastAsia="Arial" w:hAnsi="Arial"/>
                <w:b/>
                <w:bCs/>
                <w:color w:val="FFFFFF"/>
                <w:sz w:val="18"/>
                <w:szCs w:val="18"/>
              </w:rPr>
              <w:t xml:space="preserve">AUDIENCE</w:t>
            </w:r>
          </w:p>
        </w:tc>
      </w:tr>
      <w:tr>
        <w:tc>
          <w:tcPr>
            <w:tcW w:type="dxa" w:w="18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b/>
                <w:bCs/>
                <w:color w:val="1C1C1C"/>
                <w:sz w:val="18"/>
                <w:szCs w:val="18"/>
              </w:rPr>
              <w:t xml:space="preserve">Monday</w:t>
            </w:r>
          </w:p>
        </w:tc>
        <w:tc>
          <w:tcPr>
            <w:tcW w:type="dxa" w:w="436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How Bridge Loan Rates Are Set (And How to Get a Better One)</w:t>
            </w:r>
          </w:p>
        </w:tc>
        <w:tc>
          <w:tcPr>
            <w:tcW w:type="dxa" w:w="16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Bridge Lending 101</w:t>
            </w:r>
          </w:p>
        </w:tc>
        <w:tc>
          <w:tcPr>
            <w:tcW w:type="dxa" w:w="16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Borrower</w:t>
            </w:r>
          </w:p>
        </w:tc>
      </w:tr>
      <w:tr>
        <w:tc>
          <w:tcPr>
            <w:tcW w:type="dxa" w:w="18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b/>
                <w:bCs/>
                <w:color w:val="1C1C1C"/>
                <w:sz w:val="18"/>
                <w:szCs w:val="18"/>
              </w:rPr>
              <w:t xml:space="preserve">Tuesday</w:t>
            </w:r>
          </w:p>
        </w:tc>
        <w:tc>
          <w:tcPr>
            <w:tcW w:type="dxa" w:w="436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Why Manufactured Housing Is the Most Resilient Asset Class in Private Real Estate</w:t>
            </w:r>
          </w:p>
        </w:tc>
        <w:tc>
          <w:tcPr>
            <w:tcW w:type="dxa" w:w="16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Investment Insights</w:t>
            </w:r>
          </w:p>
        </w:tc>
        <w:tc>
          <w:tcPr>
            <w:tcW w:type="dxa" w:w="16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Investor</w:t>
            </w:r>
          </w:p>
        </w:tc>
      </w:tr>
      <w:tr>
        <w:tc>
          <w:tcPr>
            <w:tcW w:type="dxa" w:w="18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b/>
                <w:bCs/>
                <w:color w:val="1C1C1C"/>
                <w:sz w:val="18"/>
                <w:szCs w:val="18"/>
              </w:rPr>
              <w:t xml:space="preserve">Wednesday</w:t>
            </w:r>
          </w:p>
        </w:tc>
        <w:tc>
          <w:tcPr>
            <w:tcW w:type="dxa" w:w="436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Financing a Mobile Home Park Acquisition with a Bridge Loan</w:t>
            </w:r>
          </w:p>
        </w:tc>
        <w:tc>
          <w:tcPr>
            <w:tcW w:type="dxa" w:w="16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Deal Playbooks</w:t>
            </w:r>
          </w:p>
        </w:tc>
        <w:tc>
          <w:tcPr>
            <w:tcW w:type="dxa" w:w="16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Borrower</w:t>
            </w:r>
          </w:p>
        </w:tc>
      </w:tr>
      <w:tr>
        <w:tc>
          <w:tcPr>
            <w:tcW w:type="dxa" w:w="18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b/>
                <w:bCs/>
                <w:color w:val="1C1C1C"/>
                <w:sz w:val="18"/>
                <w:szCs w:val="18"/>
              </w:rPr>
              <w:t xml:space="preserve">Thursday</w:t>
            </w:r>
          </w:p>
        </w:tc>
        <w:tc>
          <w:tcPr>
            <w:tcW w:type="dxa" w:w="436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Q1 2026 Bridge Lending Market: Rates, Trends, and Opportunities</w:t>
            </w:r>
          </w:p>
        </w:tc>
        <w:tc>
          <w:tcPr>
            <w:tcW w:type="dxa" w:w="16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Market Intelligence</w:t>
            </w:r>
          </w:p>
        </w:tc>
        <w:tc>
          <w:tcPr>
            <w:tcW w:type="dxa" w:w="16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Borrower</w:t>
            </w:r>
          </w:p>
        </w:tc>
      </w:tr>
      <w:tr>
        <w:tc>
          <w:tcPr>
            <w:tcW w:type="dxa" w:w="18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b/>
                <w:bCs/>
                <w:color w:val="1C1C1C"/>
                <w:sz w:val="18"/>
                <w:szCs w:val="18"/>
              </w:rPr>
              <w:t xml:space="preserve">Friday</w:t>
            </w:r>
          </w:p>
        </w:tc>
        <w:tc>
          <w:tcPr>
            <w:tcW w:type="dxa" w:w="436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How We Underwrite 200 Deals to Fund 30</w:t>
            </w:r>
          </w:p>
        </w:tc>
        <w:tc>
          <w:tcPr>
            <w:tcW w:type="dxa" w:w="16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Behind the Portfolio</w:t>
            </w:r>
          </w:p>
        </w:tc>
        <w:tc>
          <w:tcPr>
            <w:tcW w:type="dxa" w:w="16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Investor</w:t>
            </w:r>
          </w:p>
        </w:tc>
      </w:tr>
      <w:tr>
        <w:tc>
          <w:tcPr>
            <w:tcW w:type="dxa" w:w="18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b/>
                <w:bCs/>
                <w:color w:val="1C1C1C"/>
                <w:sz w:val="18"/>
                <w:szCs w:val="18"/>
              </w:rPr>
              <w:t xml:space="preserve">Saturday</w:t>
            </w:r>
          </w:p>
        </w:tc>
        <w:tc>
          <w:tcPr>
            <w:tcW w:type="dxa" w:w="436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Mobile Home Park Cap Rates in 2026: What Investors Are Paying</w:t>
            </w:r>
          </w:p>
        </w:tc>
        <w:tc>
          <w:tcPr>
            <w:tcW w:type="dxa" w:w="16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SEO Opportunistic</w:t>
            </w:r>
          </w:p>
        </w:tc>
        <w:tc>
          <w:tcPr>
            <w:tcW w:type="dxa" w:w="16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Both</w:t>
            </w:r>
          </w:p>
        </w:tc>
      </w:tr>
      <w:tr>
        <w:tc>
          <w:tcPr>
            <w:tcW w:type="dxa" w:w="18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b/>
                <w:bCs/>
                <w:color w:val="1C1C1C"/>
                <w:sz w:val="18"/>
                <w:szCs w:val="18"/>
              </w:rPr>
              <w:t xml:space="preserve">Sunday</w:t>
            </w:r>
          </w:p>
        </w:tc>
        <w:tc>
          <w:tcPr>
            <w:tcW w:type="dxa" w:w="436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From Vacant Lots to Full Occupancy: A Bridge Loan MHP Case Study</w:t>
            </w:r>
          </w:p>
        </w:tc>
        <w:tc>
          <w:tcPr>
            <w:tcW w:type="dxa" w:w="16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Borrower Stories</w:t>
            </w:r>
          </w:p>
        </w:tc>
        <w:tc>
          <w:tcPr>
            <w:tcW w:type="dxa" w:w="16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Arial" w:cs="Arial" w:eastAsia="Arial" w:hAnsi="Arial"/>
                <w:color w:val="5C5C5C"/>
                <w:sz w:val="18"/>
                <w:szCs w:val="18"/>
              </w:rPr>
              <w:t xml:space="preserve">Borrower</w:t>
            </w:r>
          </w:p>
        </w:tc>
      </w:tr>
    </w:tbl>
    <w:p>
      <w:r>
        <w:br w:type="page"/>
      </w:r>
    </w:p>
    <w:p>
      <w:pPr>
        <w:spacing w:after="40"/>
      </w:pPr>
      <w:r>
        <w:rPr>
          <w:rFonts w:ascii="Arial" w:cs="Arial" w:eastAsia="Arial" w:hAnsi="Arial"/>
          <w:b/>
          <w:bCs/>
          <w:caps/>
          <w:color w:val="A08A4E"/>
          <w:spacing w:val="80"/>
          <w:sz w:val="18"/>
          <w:szCs w:val="18"/>
        </w:rPr>
        <w:t xml:space="preserve">POST 1 OF 7</w:t>
      </w:r>
    </w:p>
    <w:p>
      <w:pPr>
        <w:spacing w:after="60"/>
      </w:pPr>
      <w:r>
        <w:rPr>
          <w:rFonts w:ascii="Arial" w:cs="Arial" w:eastAsia="Arial" w:hAnsi="Arial"/>
          <w:color w:val="5C5C5C"/>
          <w:sz w:val="16"/>
          <w:szCs w:val="16"/>
        </w:rPr>
        <w:t xml:space="preserve">Monday, March 23  |  Bridge Lending 101  |  Borrower</w:t>
      </w:r>
    </w:p>
    <w:p>
      <w:pPr>
        <w:spacing w:after="120"/>
      </w:pPr>
      <w:r>
        <w:rPr>
          <w:rFonts w:ascii="Arial" w:cs="Arial" w:eastAsia="Arial" w:hAnsi="Arial"/>
          <w:b/>
          <w:bCs/>
          <w:color w:val="0C1C30"/>
          <w:sz w:val="32"/>
          <w:szCs w:val="32"/>
        </w:rPr>
        <w:t xml:space="preserve">How Bridge Loan Rates Are Set (And How to Get a Better One)</w:t>
      </w:r>
    </w:p>
    <w:p>
      <w:pPr>
        <w:pBdr>
          <w:bottom w:val="single" w:color="E0DCD4" w:sz="2" w:space="8"/>
        </w:pBdr>
        <w:spacing w:after="200"/>
      </w:pPr>
      <w:r>
        <w:rPr>
          <w:rFonts w:ascii="Arial" w:cs="Arial" w:eastAsia="Arial" w:hAnsi="Arial"/>
          <w:b/>
          <w:bCs/>
          <w:color w:val="5C5C5C"/>
          <w:sz w:val="18"/>
          <w:szCs w:val="18"/>
        </w:rPr>
        <w:t xml:space="preserve">SEO Meta: </w:t>
      </w:r>
      <w:r>
        <w:rPr>
          <w:rFonts w:ascii="Arial" w:cs="Arial" w:eastAsia="Arial" w:hAnsi="Arial"/>
          <w:i/>
          <w:iCs/>
          <w:color w:val="5C5C5C"/>
          <w:sz w:val="18"/>
          <w:szCs w:val="18"/>
        </w:rPr>
        <w:t xml:space="preserve">Learn what drives bridge loan rates from 9% to 12% and how to position your deal for better terms. Four key factors every borrower should understand.</w:t>
      </w:r>
    </w:p>
    <w:p>
      <w:pPr>
        <w:spacing w:after="140"/>
      </w:pPr>
      <w:r>
        <w:rPr>
          <w:rFonts w:ascii="Arial" w:cs="Arial" w:eastAsia="Arial" w:hAnsi="Arial"/>
          <w:color w:val="5C5C5C"/>
          <w:sz w:val="21"/>
          <w:szCs w:val="21"/>
        </w:rPr>
        <w:t xml:space="preserve">Bridge loan rates are not pulled from a rate sheet the way conventional mortgages are. Every bridge loan is priced individually based on a combination of deal-level risk factors, market conditions, and lender-specific capital costs. Understanding what drives pricing gives borrowers real leverage at the negotiation table.</w:t>
      </w:r>
    </w:p>
    <w:p>
      <w:pPr>
        <w:spacing w:after="120" w:before="240"/>
      </w:pPr>
      <w:r>
        <w:rPr>
          <w:rFonts w:ascii="Arial" w:cs="Arial" w:eastAsia="Arial" w:hAnsi="Arial"/>
          <w:b/>
          <w:bCs/>
          <w:color w:val="0C1C30"/>
          <w:sz w:val="24"/>
          <w:szCs w:val="24"/>
        </w:rPr>
        <w:t xml:space="preserve">THE FOUR FACTORS THAT DETERMINE YOUR RATE</w:t>
      </w:r>
    </w:p>
    <w:p>
      <w:pPr>
        <w:spacing w:after="80" w:before="160"/>
      </w:pPr>
      <w:r>
        <w:rPr>
          <w:rFonts w:ascii="Arial" w:cs="Arial" w:eastAsia="Arial" w:hAnsi="Arial"/>
          <w:b/>
          <w:bCs/>
          <w:color w:val="1C1C1C"/>
          <w:sz w:val="22"/>
          <w:szCs w:val="22"/>
        </w:rPr>
        <w:t xml:space="preserve">1. Loan-to-Value Ratio</w:t>
      </w:r>
    </w:p>
    <w:p>
      <w:pPr>
        <w:spacing w:after="140"/>
      </w:pPr>
      <w:r>
        <w:rPr>
          <w:rFonts w:ascii="Arial" w:cs="Arial" w:eastAsia="Arial" w:hAnsi="Arial"/>
          <w:color w:val="5C5C5C"/>
          <w:sz w:val="21"/>
          <w:szCs w:val="21"/>
        </w:rPr>
        <w:t xml:space="preserve">LTV is the single biggest rate driver. A bridge loan at 65% LTV will price meaningfully lower than the same deal at 80% LTV. The math is straightforward: lower leverage means more borrower equity at risk, which means less lender risk. Most bridge lenders price in tiers, with rate breaks at 65%, 70%, and 75% LTV thresholds.</w:t>
      </w:r>
    </w:p>
    <w:p>
      <w:pPr>
        <w:spacing w:after="80" w:before="160"/>
      </w:pPr>
      <w:r>
        <w:rPr>
          <w:rFonts w:ascii="Arial" w:cs="Arial" w:eastAsia="Arial" w:hAnsi="Arial"/>
          <w:b/>
          <w:bCs/>
          <w:color w:val="1C1C1C"/>
          <w:sz w:val="22"/>
          <w:szCs w:val="22"/>
        </w:rPr>
        <w:t xml:space="preserve">2. Exit Strategy Quality</w:t>
      </w:r>
    </w:p>
    <w:p>
      <w:pPr>
        <w:spacing w:after="140"/>
      </w:pPr>
      <w:r>
        <w:rPr>
          <w:rFonts w:ascii="Arial" w:cs="Arial" w:eastAsia="Arial" w:hAnsi="Arial"/>
          <w:color w:val="5C5C5C"/>
          <w:sz w:val="21"/>
          <w:szCs w:val="21"/>
        </w:rPr>
        <w:t xml:space="preserve">Lenders underwrite the exit as much as the entry. A bridge loan with a clear refinance path into permanent debt, supported by stabilized cash flow projections, will price better than a speculative flip with uncertain market conditions. If you can show a lender exactly how and when they get repaid, your rate improves.</w:t>
      </w:r>
    </w:p>
    <w:p>
      <w:pPr>
        <w:spacing w:after="80" w:before="160"/>
      </w:pPr>
      <w:r>
        <w:rPr>
          <w:rFonts w:ascii="Arial" w:cs="Arial" w:eastAsia="Arial" w:hAnsi="Arial"/>
          <w:b/>
          <w:bCs/>
          <w:color w:val="1C1C1C"/>
          <w:sz w:val="22"/>
          <w:szCs w:val="22"/>
        </w:rPr>
        <w:t xml:space="preserve">3. Sponsor Experience</w:t>
      </w:r>
    </w:p>
    <w:p>
      <w:pPr>
        <w:spacing w:after="140"/>
      </w:pPr>
      <w:r>
        <w:rPr>
          <w:rFonts w:ascii="Arial" w:cs="Arial" w:eastAsia="Arial" w:hAnsi="Arial"/>
          <w:color w:val="5C5C5C"/>
          <w:sz w:val="21"/>
          <w:szCs w:val="21"/>
        </w:rPr>
        <w:t xml:space="preserve">First-time bridge loan borrowers pay more. Lenders price experience because it directly correlates with execution risk. A borrower with 10 completed projects and zero defaults represents a fundamentally different risk profile than a first-time investor. Build a track record and your rates will follow.</w:t>
      </w:r>
    </w:p>
    <w:p>
      <w:pPr>
        <w:spacing w:after="80" w:before="160"/>
      </w:pPr>
      <w:r>
        <w:rPr>
          <w:rFonts w:ascii="Arial" w:cs="Arial" w:eastAsia="Arial" w:hAnsi="Arial"/>
          <w:b/>
          <w:bCs/>
          <w:color w:val="1C1C1C"/>
          <w:sz w:val="22"/>
          <w:szCs w:val="22"/>
        </w:rPr>
        <w:t xml:space="preserve">4. Property Type and Condition</w:t>
      </w:r>
    </w:p>
    <w:p>
      <w:pPr>
        <w:spacing w:after="140"/>
      </w:pPr>
      <w:r>
        <w:rPr>
          <w:rFonts w:ascii="Arial" w:cs="Arial" w:eastAsia="Arial" w:hAnsi="Arial"/>
          <w:color w:val="5C5C5C"/>
          <w:sz w:val="21"/>
          <w:szCs w:val="21"/>
        </w:rPr>
        <w:t xml:space="preserve">Stabilized multifamily assets price at the low end of bridge rates. Ground-up construction or heavy renovation projects price at the high end. The logic is simple: lenders assess how quickly they could recover their capital if the borrower defaults, and a stabilized property with tenants in place is far easier to liquidate than a half-finished construction site.</w:t>
      </w:r>
    </w:p>
    <w:p>
      <w:pPr>
        <w:spacing w:after="120" w:before="240"/>
      </w:pPr>
      <w:r>
        <w:rPr>
          <w:rFonts w:ascii="Arial" w:cs="Arial" w:eastAsia="Arial" w:hAnsi="Arial"/>
          <w:b/>
          <w:bCs/>
          <w:color w:val="0C1C30"/>
          <w:sz w:val="24"/>
          <w:szCs w:val="24"/>
        </w:rPr>
        <w:t xml:space="preserve">WHAT BORROWERS GET WRONG ABOUT RATE SHOPPING</w:t>
      </w:r>
    </w:p>
    <w:p>
      <w:pPr>
        <w:spacing w:after="140"/>
      </w:pPr>
      <w:r>
        <w:rPr>
          <w:rFonts w:ascii="Arial" w:cs="Arial" w:eastAsia="Arial" w:hAnsi="Arial"/>
          <w:color w:val="5C5C5C"/>
          <w:sz w:val="21"/>
          <w:szCs w:val="21"/>
        </w:rPr>
        <w:t xml:space="preserve">The most common mistake borrowers make is optimizing purely for rate while ignoring total cost of capital. A loan at 9.5% with 3 points of origination, a 12-month minimum interest guarantee, and a 60-day closing timeline may cost more than a loan at 10.5% with 1.5 points and a 10-day close. The faster close lets you capture the deal, begin your business plan sooner, and exit the bridge loan earlier.</w:t>
      </w:r>
    </w:p>
    <w:p>
      <w:pPr>
        <w:spacing w:after="140"/>
      </w:pPr>
      <w:r>
        <w:rPr>
          <w:rFonts w:ascii="Arial" w:cs="Arial" w:eastAsia="Arial" w:hAnsi="Arial"/>
          <w:color w:val="5C5C5C"/>
          <w:sz w:val="21"/>
          <w:szCs w:val="21"/>
        </w:rPr>
        <w:t xml:space="preserve">At Requity Lending, we structure bridge loans that optimize for total project economics, not just the headline rate. Our underwriting team works directly with borrowers to find the right balance of rate, leverage, speed, and flexibility for each specific deal.</w:t>
      </w:r>
    </w:p>
    <w:p>
      <w:pPr>
        <w:spacing w:after="120" w:before="240"/>
      </w:pPr>
      <w:r>
        <w:rPr>
          <w:rFonts w:ascii="Arial" w:cs="Arial" w:eastAsia="Arial" w:hAnsi="Arial"/>
          <w:b/>
          <w:bCs/>
          <w:color w:val="0C1C30"/>
          <w:sz w:val="24"/>
          <w:szCs w:val="24"/>
        </w:rPr>
        <w:t xml:space="preserve">HOW TO POSITION YOUR DEAL FOR THE BEST TERMS</w:t>
      </w:r>
    </w:p>
    <w:p>
      <w:pPr>
        <w:pStyle w:val="ListParagraph"/>
        <w:numPr>
          <w:ilvl w:val="0"/>
          <w:numId w:val="2"/>
        </w:numPr>
        <w:spacing w:after="60"/>
      </w:pPr>
      <w:r>
        <w:rPr>
          <w:rFonts w:ascii="Arial" w:cs="Arial" w:eastAsia="Arial" w:hAnsi="Arial"/>
          <w:color w:val="5C5C5C"/>
          <w:sz w:val="21"/>
          <w:szCs w:val="21"/>
        </w:rPr>
        <w:t xml:space="preserve">Come with a complete package. Lenders reward preparedness. A full deal package with financials, photos, comps, and a clear business plan signals low execution risk.</w:t>
      </w:r>
    </w:p>
    <w:p>
      <w:pPr>
        <w:pStyle w:val="ListParagraph"/>
        <w:numPr>
          <w:ilvl w:val="0"/>
          <w:numId w:val="2"/>
        </w:numPr>
        <w:spacing w:after="60"/>
      </w:pPr>
      <w:r>
        <w:rPr>
          <w:rFonts w:ascii="Arial" w:cs="Arial" w:eastAsia="Arial" w:hAnsi="Arial"/>
          <w:color w:val="5C5C5C"/>
          <w:sz w:val="21"/>
          <w:szCs w:val="21"/>
        </w:rPr>
        <w:t xml:space="preserve">Show your track record. Even if this is your first bridge loan, document your real estate experience. Completed projects, property management history, and professional references all help.</w:t>
      </w:r>
    </w:p>
    <w:p>
      <w:pPr>
        <w:pStyle w:val="ListParagraph"/>
        <w:numPr>
          <w:ilvl w:val="0"/>
          <w:numId w:val="2"/>
        </w:numPr>
        <w:spacing w:after="60"/>
      </w:pPr>
      <w:r>
        <w:rPr>
          <w:rFonts w:ascii="Arial" w:cs="Arial" w:eastAsia="Arial" w:hAnsi="Arial"/>
          <w:color w:val="5C5C5C"/>
          <w:sz w:val="21"/>
          <w:szCs w:val="21"/>
        </w:rPr>
        <w:t xml:space="preserve">Be realistic on LTV. Requesting 85% LTV and negotiating down is less effective than presenting a well-structured ask at 70-75% with clear reasoning.</w:t>
      </w:r>
    </w:p>
    <w:p>
      <w:pPr>
        <w:pStyle w:val="ListParagraph"/>
        <w:numPr>
          <w:ilvl w:val="0"/>
          <w:numId w:val="2"/>
        </w:numPr>
        <w:spacing w:after="60"/>
      </w:pPr>
      <w:r>
        <w:rPr>
          <w:rFonts w:ascii="Arial" w:cs="Arial" w:eastAsia="Arial" w:hAnsi="Arial"/>
          <w:color w:val="5C5C5C"/>
          <w:sz w:val="21"/>
          <w:szCs w:val="21"/>
        </w:rPr>
        <w:t xml:space="preserve">Have your exit documented. A pre-qualification letter from a permanent lender or a detailed refinance analysis removes a major risk factor from the lender's perspective.</w:t>
      </w:r>
    </w:p>
    <w:p>
      <w:pPr>
        <w:spacing w:after="140"/>
      </w:pPr>
      <w:r>
        <w:rPr>
          <w:rFonts w:ascii="Arial" w:cs="Arial" w:eastAsia="Arial" w:hAnsi="Arial"/>
          <w:color w:val="5C5C5C"/>
          <w:sz w:val="21"/>
          <w:szCs w:val="21"/>
        </w:rPr>
        <w:t xml:space="preserve">Ready to see what rate your deal qualifies for? Request a term sheet and our team will respond within 48 hours.</w:t>
      </w:r>
    </w:p>
    <w:p>
      <w:r>
        <w:br w:type="page"/>
      </w:r>
    </w:p>
    <w:p>
      <w:pPr>
        <w:spacing w:after="40"/>
      </w:pPr>
      <w:r>
        <w:rPr>
          <w:rFonts w:ascii="Arial" w:cs="Arial" w:eastAsia="Arial" w:hAnsi="Arial"/>
          <w:b/>
          <w:bCs/>
          <w:caps/>
          <w:color w:val="A08A4E"/>
          <w:spacing w:val="80"/>
          <w:sz w:val="18"/>
          <w:szCs w:val="18"/>
        </w:rPr>
        <w:t xml:space="preserve">POST 2 OF 7</w:t>
      </w:r>
    </w:p>
    <w:p>
      <w:pPr>
        <w:spacing w:after="60"/>
      </w:pPr>
      <w:r>
        <w:rPr>
          <w:rFonts w:ascii="Arial" w:cs="Arial" w:eastAsia="Arial" w:hAnsi="Arial"/>
          <w:color w:val="5C5C5C"/>
          <w:sz w:val="16"/>
          <w:szCs w:val="16"/>
        </w:rPr>
        <w:t xml:space="preserve">Tuesday, March 24  |  Investment Insights  |  Investor</w:t>
      </w:r>
    </w:p>
    <w:p>
      <w:pPr>
        <w:spacing w:after="120"/>
      </w:pPr>
      <w:r>
        <w:rPr>
          <w:rFonts w:ascii="Arial" w:cs="Arial" w:eastAsia="Arial" w:hAnsi="Arial"/>
          <w:b/>
          <w:bCs/>
          <w:color w:val="0C1C30"/>
          <w:sz w:val="32"/>
          <w:szCs w:val="32"/>
        </w:rPr>
        <w:t xml:space="preserve">Why Manufactured Housing Is the Most Resilient Asset Class in Private Real Estate</w:t>
      </w:r>
    </w:p>
    <w:p>
      <w:pPr>
        <w:pBdr>
          <w:bottom w:val="single" w:color="E0DCD4" w:sz="2" w:space="8"/>
        </w:pBdr>
        <w:spacing w:after="200"/>
      </w:pPr>
      <w:r>
        <w:rPr>
          <w:rFonts w:ascii="Arial" w:cs="Arial" w:eastAsia="Arial" w:hAnsi="Arial"/>
          <w:b/>
          <w:bCs/>
          <w:color w:val="5C5C5C"/>
          <w:sz w:val="18"/>
          <w:szCs w:val="18"/>
        </w:rPr>
        <w:t xml:space="preserve">SEO Meta: </w:t>
      </w:r>
      <w:r>
        <w:rPr>
          <w:rFonts w:ascii="Arial" w:cs="Arial" w:eastAsia="Arial" w:hAnsi="Arial"/>
          <w:i/>
          <w:iCs/>
          <w:color w:val="5C5C5C"/>
          <w:sz w:val="18"/>
          <w:szCs w:val="18"/>
        </w:rPr>
        <w:t xml:space="preserve">Manufactured housing communities outperform through downturns with constrained supply and recession-resistant demand. Explore why MHPs belong in your portfolio.</w:t>
      </w:r>
    </w:p>
    <w:p>
      <w:pPr>
        <w:spacing w:after="140"/>
      </w:pPr>
      <w:r>
        <w:rPr>
          <w:rFonts w:ascii="Arial" w:cs="Arial" w:eastAsia="Arial" w:hAnsi="Arial"/>
          <w:color w:val="5C5C5C"/>
          <w:sz w:val="21"/>
          <w:szCs w:val="21"/>
        </w:rPr>
        <w:t xml:space="preserve">Among all real estate asset classes available to private investors, manufactured housing communities occupy a unique position: they combine affordable housing demand, constrained supply, and operational simplicity in a way that produces consistent, recession-tested returns.</w:t>
      </w:r>
    </w:p>
    <w:p>
      <w:pPr>
        <w:spacing w:after="120" w:before="240"/>
      </w:pPr>
      <w:r>
        <w:rPr>
          <w:rFonts w:ascii="Arial" w:cs="Arial" w:eastAsia="Arial" w:hAnsi="Arial"/>
          <w:b/>
          <w:bCs/>
          <w:color w:val="0C1C30"/>
          <w:sz w:val="24"/>
          <w:szCs w:val="24"/>
        </w:rPr>
        <w:t xml:space="preserve">THE SUPPLY CONSTRAINT ADVANTAGE</w:t>
      </w:r>
    </w:p>
    <w:p>
      <w:pPr>
        <w:spacing w:after="140"/>
      </w:pPr>
      <w:r>
        <w:rPr>
          <w:rFonts w:ascii="Arial" w:cs="Arial" w:eastAsia="Arial" w:hAnsi="Arial"/>
          <w:color w:val="5C5C5C"/>
          <w:sz w:val="21"/>
          <w:szCs w:val="21"/>
        </w:rPr>
        <w:t xml:space="preserve">New mobile home park development is effectively frozen in most U.S. markets. Zoning restrictions, community opposition, and regulatory barriers mean that the total number of manufactured housing communities has been declining for over two decades. When supply cannot increase but demand grows with population and housing costs, asset values have a structural floor that other property types lack.</w:t>
      </w:r>
    </w:p>
    <w:p>
      <w:pPr>
        <w:spacing w:after="140"/>
      </w:pPr>
      <w:r>
        <w:rPr>
          <w:rFonts w:ascii="Arial" w:cs="Arial" w:eastAsia="Arial" w:hAnsi="Arial"/>
          <w:color w:val="5C5C5C"/>
          <w:sz w:val="21"/>
          <w:szCs w:val="21"/>
        </w:rPr>
        <w:t xml:space="preserve">Compare this to multifamily apartments, where new construction in Sunbelt markets has pushed vacancy rates above 6% in some metros. Mobile home parks in the same markets face the opposite dynamic: waitlists for vacant lots and near-zero vacancy in well-managed communities.</w:t>
      </w:r>
    </w:p>
    <w:p>
      <w:pPr>
        <w:spacing w:after="120" w:before="240"/>
      </w:pPr>
      <w:r>
        <w:rPr>
          <w:rFonts w:ascii="Arial" w:cs="Arial" w:eastAsia="Arial" w:hAnsi="Arial"/>
          <w:b/>
          <w:bCs/>
          <w:color w:val="0C1C30"/>
          <w:sz w:val="24"/>
          <w:szCs w:val="24"/>
        </w:rPr>
        <w:t xml:space="preserve">RECESSION PERFORMANCE</w:t>
      </w:r>
    </w:p>
    <w:p>
      <w:pPr>
        <w:spacing w:after="140"/>
      </w:pPr>
      <w:r>
        <w:rPr>
          <w:rFonts w:ascii="Arial" w:cs="Arial" w:eastAsia="Arial" w:hAnsi="Arial"/>
          <w:color w:val="5C5C5C"/>
          <w:sz w:val="21"/>
          <w:szCs w:val="21"/>
        </w:rPr>
        <w:t xml:space="preserve">During the 2008-2010 financial crisis, mobile home park values declined approximately 5-10%, compared to 30-40% declines in commercial office and 15-25% in conventional multifamily. The 2020 pandemic showed a similar pattern: manufactured housing communities maintained occupancy and rent collection rates above 95% while other asset classes experienced significant disruption.</w:t>
      </w:r>
    </w:p>
    <w:p>
      <w:pPr>
        <w:spacing w:after="140"/>
      </w:pPr>
      <w:r>
        <w:rPr>
          <w:rFonts w:ascii="Arial" w:cs="Arial" w:eastAsia="Arial" w:hAnsi="Arial"/>
          <w:color w:val="5C5C5C"/>
          <w:sz w:val="21"/>
          <w:szCs w:val="21"/>
        </w:rPr>
        <w:t xml:space="preserve">The reason is mechanical. Residents own their homes but rent the land underneath. Moving a manufactured home costs $5,000 to $15,000 and is logistically complex. This creates natural tenant retention that no apartment lease can replicate. When residents stay, cash flow stays.</w:t>
      </w:r>
    </w:p>
    <w:p>
      <w:pPr>
        <w:spacing w:after="120" w:before="240"/>
      </w:pPr>
      <w:r>
        <w:rPr>
          <w:rFonts w:ascii="Arial" w:cs="Arial" w:eastAsia="Arial" w:hAnsi="Arial"/>
          <w:b/>
          <w:bCs/>
          <w:color w:val="0C1C30"/>
          <w:sz w:val="24"/>
          <w:szCs w:val="24"/>
        </w:rPr>
        <w:t xml:space="preserve">THE VALUE-ADD OPPORTUNITY</w:t>
      </w:r>
    </w:p>
    <w:p>
      <w:pPr>
        <w:spacing w:after="140"/>
      </w:pPr>
      <w:r>
        <w:rPr>
          <w:rFonts w:ascii="Arial" w:cs="Arial" w:eastAsia="Arial" w:hAnsi="Arial"/>
          <w:color w:val="5C5C5C"/>
          <w:sz w:val="21"/>
          <w:szCs w:val="21"/>
        </w:rPr>
        <w:t xml:space="preserve">Many mobile home parks still operate under legacy ownership with below-market lot rents, deferred infrastructure, and minimal professional management. This creates a repeatable value-add playbook:</w:t>
      </w:r>
    </w:p>
    <w:p>
      <w:pPr>
        <w:pStyle w:val="ListParagraph"/>
        <w:numPr>
          <w:ilvl w:val="0"/>
          <w:numId w:val="2"/>
        </w:numPr>
        <w:spacing w:after="60"/>
      </w:pPr>
      <w:r>
        <w:rPr>
          <w:rFonts w:ascii="Arial" w:cs="Arial" w:eastAsia="Arial" w:hAnsi="Arial"/>
          <w:color w:val="5C5C5C"/>
          <w:sz w:val="21"/>
          <w:szCs w:val="21"/>
        </w:rPr>
        <w:t xml:space="preserve">Lot rent adjustments: Many parks have lot rents 20-40% below market. Gradual, fair increases over 2-3 years can significantly improve NOI without displacing residents.</w:t>
      </w:r>
    </w:p>
    <w:p>
      <w:pPr>
        <w:pStyle w:val="ListParagraph"/>
        <w:numPr>
          <w:ilvl w:val="0"/>
          <w:numId w:val="2"/>
        </w:numPr>
        <w:spacing w:after="60"/>
      </w:pPr>
      <w:r>
        <w:rPr>
          <w:rFonts w:ascii="Arial" w:cs="Arial" w:eastAsia="Arial" w:hAnsi="Arial"/>
          <w:color w:val="5C5C5C"/>
          <w:sz w:val="21"/>
          <w:szCs w:val="21"/>
        </w:rPr>
        <w:t xml:space="preserve">Infrastructure upgrades: Metering water and sewer, upgrading electrical systems, and improving roads and common areas reduce operating costs and increase property value.</w:t>
      </w:r>
    </w:p>
    <w:p>
      <w:pPr>
        <w:pStyle w:val="ListParagraph"/>
        <w:numPr>
          <w:ilvl w:val="0"/>
          <w:numId w:val="2"/>
        </w:numPr>
        <w:spacing w:after="60"/>
      </w:pPr>
      <w:r>
        <w:rPr>
          <w:rFonts w:ascii="Arial" w:cs="Arial" w:eastAsia="Arial" w:hAnsi="Arial"/>
          <w:color w:val="5C5C5C"/>
          <w:sz w:val="21"/>
          <w:szCs w:val="21"/>
        </w:rPr>
        <w:t xml:space="preserve">Occupancy optimization: Infilling vacant lots with new or used homes creates additional revenue streams. A vacant lot producing $0/month can generate $400-$600/month in lot rent once filled.</w:t>
      </w:r>
    </w:p>
    <w:p>
      <w:pPr>
        <w:pStyle w:val="ListParagraph"/>
        <w:numPr>
          <w:ilvl w:val="0"/>
          <w:numId w:val="2"/>
        </w:numPr>
        <w:spacing w:after="60"/>
      </w:pPr>
      <w:r>
        <w:rPr>
          <w:rFonts w:ascii="Arial" w:cs="Arial" w:eastAsia="Arial" w:hAnsi="Arial"/>
          <w:color w:val="5C5C5C"/>
          <w:sz w:val="21"/>
          <w:szCs w:val="21"/>
        </w:rPr>
        <w:t xml:space="preserve">Professional management: Implementing consistent rent collection, maintenance schedules, and community standards improves both NOI and resident satisfaction.</w:t>
      </w:r>
    </w:p>
    <w:p>
      <w:pPr>
        <w:spacing w:after="120" w:before="240"/>
      </w:pPr>
      <w:r>
        <w:rPr>
          <w:rFonts w:ascii="Arial" w:cs="Arial" w:eastAsia="Arial" w:hAnsi="Arial"/>
          <w:b/>
          <w:bCs/>
          <w:color w:val="0C1C30"/>
          <w:sz w:val="24"/>
          <w:szCs w:val="24"/>
        </w:rPr>
        <w:t xml:space="preserve">HOW REQUITY APPROACHES MANUFACTURED HOUSING</w:t>
      </w:r>
    </w:p>
    <w:p>
      <w:pPr>
        <w:spacing w:after="140"/>
      </w:pPr>
      <w:r>
        <w:rPr>
          <w:rFonts w:ascii="Arial" w:cs="Arial" w:eastAsia="Arial" w:hAnsi="Arial"/>
          <w:color w:val="5C5C5C"/>
          <w:sz w:val="21"/>
          <w:szCs w:val="21"/>
        </w:rPr>
        <w:t xml:space="preserve">Requity Group targets manufactured housing communities in markets with strong employment fundamentals and housing affordability pressure. Our acquisition criteria focuses on parks with 50+ lots, below-market rents, and clear operational improvement opportunities. We finance acquisitions through our bridge lending platform and manage assets with an institutional operating framework.</w:t>
      </w:r>
    </w:p>
    <w:p>
      <w:pPr>
        <w:spacing w:after="140"/>
      </w:pPr>
      <w:r>
        <w:rPr>
          <w:rFonts w:ascii="Arial" w:cs="Arial" w:eastAsia="Arial" w:hAnsi="Arial"/>
          <w:color w:val="5C5C5C"/>
          <w:sz w:val="21"/>
          <w:szCs w:val="21"/>
        </w:rPr>
        <w:t xml:space="preserve">For investors seeking exposure to this asset class through a managed fund structure, learn more about our current investment offerings at requitygroup.com/invest.</w:t>
      </w:r>
    </w:p>
    <w:p>
      <w:r>
        <w:br w:type="page"/>
      </w:r>
    </w:p>
    <w:p>
      <w:pPr>
        <w:spacing w:after="40"/>
      </w:pPr>
      <w:r>
        <w:rPr>
          <w:rFonts w:ascii="Arial" w:cs="Arial" w:eastAsia="Arial" w:hAnsi="Arial"/>
          <w:b/>
          <w:bCs/>
          <w:caps/>
          <w:color w:val="A08A4E"/>
          <w:spacing w:val="80"/>
          <w:sz w:val="18"/>
          <w:szCs w:val="18"/>
        </w:rPr>
        <w:t xml:space="preserve">POST 3 OF 7</w:t>
      </w:r>
    </w:p>
    <w:p>
      <w:pPr>
        <w:spacing w:after="60"/>
      </w:pPr>
      <w:r>
        <w:rPr>
          <w:rFonts w:ascii="Arial" w:cs="Arial" w:eastAsia="Arial" w:hAnsi="Arial"/>
          <w:color w:val="5C5C5C"/>
          <w:sz w:val="16"/>
          <w:szCs w:val="16"/>
        </w:rPr>
        <w:t xml:space="preserve">Wednesday, March 25  |  Deal Playbooks  |  Borrower</w:t>
      </w:r>
    </w:p>
    <w:p>
      <w:pPr>
        <w:spacing w:after="120"/>
      </w:pPr>
      <w:r>
        <w:rPr>
          <w:rFonts w:ascii="Arial" w:cs="Arial" w:eastAsia="Arial" w:hAnsi="Arial"/>
          <w:b/>
          <w:bCs/>
          <w:color w:val="0C1C30"/>
          <w:sz w:val="32"/>
          <w:szCs w:val="32"/>
        </w:rPr>
        <w:t xml:space="preserve">Financing a Mobile Home Park Acquisition with a Bridge Loan</w:t>
      </w:r>
    </w:p>
    <w:p>
      <w:pPr>
        <w:pBdr>
          <w:bottom w:val="single" w:color="E0DCD4" w:sz="2" w:space="8"/>
        </w:pBdr>
        <w:spacing w:after="200"/>
      </w:pPr>
      <w:r>
        <w:rPr>
          <w:rFonts w:ascii="Arial" w:cs="Arial" w:eastAsia="Arial" w:hAnsi="Arial"/>
          <w:b/>
          <w:bCs/>
          <w:color w:val="5C5C5C"/>
          <w:sz w:val="18"/>
          <w:szCs w:val="18"/>
        </w:rPr>
        <w:t xml:space="preserve">SEO Meta: </w:t>
      </w:r>
      <w:r>
        <w:rPr>
          <w:rFonts w:ascii="Arial" w:cs="Arial" w:eastAsia="Arial" w:hAnsi="Arial"/>
          <w:i/>
          <w:iCs/>
          <w:color w:val="5C5C5C"/>
          <w:sz w:val="18"/>
          <w:szCs w:val="18"/>
        </w:rPr>
        <w:t xml:space="preserve">Learn how to finance mobile home park acquisitions with bridge loans. Structure the capital stack, plan the stabilization timeline, and position for permanent financing.</w:t>
      </w:r>
    </w:p>
    <w:p>
      <w:pPr>
        <w:spacing w:after="140"/>
      </w:pPr>
      <w:r>
        <w:rPr>
          <w:rFonts w:ascii="Arial" w:cs="Arial" w:eastAsia="Arial" w:hAnsi="Arial"/>
          <w:color w:val="5C5C5C"/>
          <w:sz w:val="21"/>
          <w:szCs w:val="21"/>
        </w:rPr>
        <w:t xml:space="preserve">Mobile home park acquisitions present a financing challenge that bridge loans are specifically designed to solve. Conventional lenders frequently decline MHP deals due to unfamiliarity with the asset class, reluctance to lend on park-owned homes, or inability to move at the speed the market demands. Bridge financing fills that gap.</w:t>
      </w:r>
    </w:p>
    <w:p>
      <w:pPr>
        <w:spacing w:after="120" w:before="240"/>
      </w:pPr>
      <w:r>
        <w:rPr>
          <w:rFonts w:ascii="Arial" w:cs="Arial" w:eastAsia="Arial" w:hAnsi="Arial"/>
          <w:b/>
          <w:bCs/>
          <w:color w:val="0C1C30"/>
          <w:sz w:val="24"/>
          <w:szCs w:val="24"/>
        </w:rPr>
        <w:t xml:space="preserve">WHY MHP DEALS NEED BRIDGE LOANS</w:t>
      </w:r>
    </w:p>
    <w:p>
      <w:pPr>
        <w:spacing w:after="140"/>
      </w:pPr>
      <w:r>
        <w:rPr>
          <w:rFonts w:ascii="Arial" w:cs="Arial" w:eastAsia="Arial" w:hAnsi="Arial"/>
          <w:color w:val="5C5C5C"/>
          <w:sz w:val="21"/>
          <w:szCs w:val="21"/>
        </w:rPr>
        <w:t xml:space="preserve">Three scenarios consistently push mobile home park buyers toward bridge financing:</w:t>
      </w:r>
    </w:p>
    <w:p>
      <w:pPr>
        <w:spacing w:after="140"/>
      </w:pPr>
      <w:r>
        <w:rPr>
          <w:rFonts w:ascii="Arial" w:cs="Arial" w:eastAsia="Arial" w:hAnsi="Arial"/>
          <w:color w:val="5C5C5C"/>
          <w:sz w:val="21"/>
          <w:szCs w:val="21"/>
        </w:rPr>
        <w:t xml:space="preserve">Below-market operations: Many parks operate with deferred maintenance, below-market rents, and inconsistent management. Conventional lenders underwrite current income, not potential income. A park generating $8,000/month in NOI with a path to $14,000/month after improvements will not qualify for permanent financing at its future value. A bridge loan capitalizes the acquisition based on the business plan, not just the trailing financials.</w:t>
      </w:r>
    </w:p>
    <w:p>
      <w:pPr>
        <w:spacing w:after="140"/>
      </w:pPr>
      <w:r>
        <w:rPr>
          <w:rFonts w:ascii="Arial" w:cs="Arial" w:eastAsia="Arial" w:hAnsi="Arial"/>
          <w:color w:val="5C5C5C"/>
          <w:sz w:val="21"/>
          <w:szCs w:val="21"/>
        </w:rPr>
        <w:t xml:space="preserve">Speed requirements: MHP deals sourced directly from aging owner-operators often require fast closings. These sellers want certainty and speed over price maximization. A bridge loan closing in 10-15 business days wins deals that a 60-day bank process would lose.</w:t>
      </w:r>
    </w:p>
    <w:p>
      <w:pPr>
        <w:spacing w:after="140"/>
      </w:pPr>
      <w:r>
        <w:rPr>
          <w:rFonts w:ascii="Arial" w:cs="Arial" w:eastAsia="Arial" w:hAnsi="Arial"/>
          <w:color w:val="5C5C5C"/>
          <w:sz w:val="21"/>
          <w:szCs w:val="21"/>
        </w:rPr>
        <w:t xml:space="preserve">Park-owned home portfolios: Parks with a significant number of park-owned homes (POHs) are difficult for conventional lenders to underwrite. Bridge lenders evaluate the total asset, including the income from POH rentals, and provide financing that accounts for the full revenue picture.</w:t>
      </w:r>
    </w:p>
    <w:p>
      <w:pPr>
        <w:spacing w:after="120" w:before="240"/>
      </w:pPr>
      <w:r>
        <w:rPr>
          <w:rFonts w:ascii="Arial" w:cs="Arial" w:eastAsia="Arial" w:hAnsi="Arial"/>
          <w:b/>
          <w:bCs/>
          <w:color w:val="0C1C30"/>
          <w:sz w:val="24"/>
          <w:szCs w:val="24"/>
        </w:rPr>
        <w:t xml:space="preserve">STRUCTURING THE CAPITAL STACK</w:t>
      </w:r>
    </w:p>
    <w:p>
      <w:pPr>
        <w:spacing w:after="140"/>
      </w:pPr>
      <w:r>
        <w:rPr>
          <w:rFonts w:ascii="Arial" w:cs="Arial" w:eastAsia="Arial" w:hAnsi="Arial"/>
          <w:color w:val="5C5C5C"/>
          <w:sz w:val="21"/>
          <w:szCs w:val="21"/>
        </w:rPr>
        <w:t xml:space="preserve">Acquisition Bridge Loan: The primary bridge loan covers 65-80% of the purchase price. Terms typically run 12-24 months with interest rates in the 9-11% range for MHP deals. The exit strategy is a refinance into agency debt (Fannie Mae or Freddie Mac manufactured housing programs) or a CMBS loan once the park is stabilized.</w:t>
      </w:r>
    </w:p>
    <w:p>
      <w:pPr>
        <w:spacing w:after="140"/>
      </w:pPr>
      <w:r>
        <w:rPr>
          <w:rFonts w:ascii="Arial" w:cs="Arial" w:eastAsia="Arial" w:hAnsi="Arial"/>
          <w:color w:val="5C5C5C"/>
          <w:sz w:val="21"/>
          <w:szCs w:val="21"/>
        </w:rPr>
        <w:t xml:space="preserve">Improvement Capital: Many bridge lenders will include a renovation or improvement holdback in the loan structure. This capital funds infrastructure upgrades, lot infill, and deferred maintenance. Draws are released as work is completed, similar to construction draw processes. At Requity Lending, we structure improvement holdbacks directly into our bridge loans so borrowers have a single capital source for both acquisition and execution.</w:t>
      </w:r>
    </w:p>
    <w:p>
      <w:pPr>
        <w:spacing w:after="140"/>
      </w:pPr>
      <w:r>
        <w:rPr>
          <w:rFonts w:ascii="Arial" w:cs="Arial" w:eastAsia="Arial" w:hAnsi="Arial"/>
          <w:color w:val="5C5C5C"/>
          <w:sz w:val="21"/>
          <w:szCs w:val="21"/>
        </w:rPr>
        <w:t xml:space="preserve">Equity: Borrower equity typically ranges from 20-35% of the total project cost. Experienced MHP operators with strong track records can often access lower equity requirements.</w:t>
      </w:r>
    </w:p>
    <w:p>
      <w:pPr>
        <w:spacing w:after="120" w:before="240"/>
      </w:pPr>
      <w:r>
        <w:rPr>
          <w:rFonts w:ascii="Arial" w:cs="Arial" w:eastAsia="Arial" w:hAnsi="Arial"/>
          <w:b/>
          <w:bCs/>
          <w:color w:val="0C1C30"/>
          <w:sz w:val="24"/>
          <w:szCs w:val="24"/>
        </w:rPr>
        <w:t xml:space="preserve">THE STABILIZATION TIMELINE</w:t>
      </w:r>
    </w:p>
    <w:p>
      <w:pPr>
        <w:pStyle w:val="ListParagraph"/>
        <w:numPr>
          <w:ilvl w:val="0"/>
          <w:numId w:val="2"/>
        </w:numPr>
        <w:spacing w:after="60"/>
      </w:pPr>
      <w:r>
        <w:rPr>
          <w:rFonts w:ascii="Arial" w:cs="Arial" w:eastAsia="Arial" w:hAnsi="Arial"/>
          <w:color w:val="5C5C5C"/>
          <w:sz w:val="21"/>
          <w:szCs w:val="21"/>
        </w:rPr>
        <w:t xml:space="preserve">Months 1-3: Takeover operations, implement professional management, begin infrastructure assessment. Start lot rent adjustment program with proper notice periods.</w:t>
      </w:r>
    </w:p>
    <w:p>
      <w:pPr>
        <w:pStyle w:val="ListParagraph"/>
        <w:numPr>
          <w:ilvl w:val="0"/>
          <w:numId w:val="2"/>
        </w:numPr>
        <w:spacing w:after="60"/>
      </w:pPr>
      <w:r>
        <w:rPr>
          <w:rFonts w:ascii="Arial" w:cs="Arial" w:eastAsia="Arial" w:hAnsi="Arial"/>
          <w:color w:val="5C5C5C"/>
          <w:sz w:val="21"/>
          <w:szCs w:val="21"/>
        </w:rPr>
        <w:t xml:space="preserve">Months 4-8: Execute infrastructure improvements. Begin lot infill program for vacant pads. Second phase of rent adjustments if applicable.</w:t>
      </w:r>
    </w:p>
    <w:p>
      <w:pPr>
        <w:pStyle w:val="ListParagraph"/>
        <w:numPr>
          <w:ilvl w:val="0"/>
          <w:numId w:val="2"/>
        </w:numPr>
        <w:spacing w:after="60"/>
      </w:pPr>
      <w:r>
        <w:rPr>
          <w:rFonts w:ascii="Arial" w:cs="Arial" w:eastAsia="Arial" w:hAnsi="Arial"/>
          <w:color w:val="5C5C5C"/>
          <w:sz w:val="21"/>
          <w:szCs w:val="21"/>
        </w:rPr>
        <w:t xml:space="preserve">Months 9-12: Stabilize occupancy and revenue. Compile 3-6 months of trailing financials showing improved performance.</w:t>
      </w:r>
    </w:p>
    <w:p>
      <w:pPr>
        <w:pStyle w:val="ListParagraph"/>
        <w:numPr>
          <w:ilvl w:val="0"/>
          <w:numId w:val="2"/>
        </w:numPr>
        <w:spacing w:after="60"/>
      </w:pPr>
      <w:r>
        <w:rPr>
          <w:rFonts w:ascii="Arial" w:cs="Arial" w:eastAsia="Arial" w:hAnsi="Arial"/>
          <w:color w:val="5C5C5C"/>
          <w:sz w:val="21"/>
          <w:szCs w:val="21"/>
        </w:rPr>
        <w:t xml:space="preserve">Months 12-18: Refinance into permanent financing based on stabilized NOI. Repay bridge loan and recapture equity for the next acquisition.</w:t>
      </w:r>
    </w:p>
    <w:p>
      <w:pPr>
        <w:spacing w:after="120" w:before="240"/>
      </w:pPr>
      <w:r>
        <w:rPr>
          <w:rFonts w:ascii="Arial" w:cs="Arial" w:eastAsia="Arial" w:hAnsi="Arial"/>
          <w:b/>
          <w:bCs/>
          <w:color w:val="0C1C30"/>
          <w:sz w:val="24"/>
          <w:szCs w:val="24"/>
        </w:rPr>
        <w:t xml:space="preserve">WHAT LENDERS WANT TO SEE</w:t>
      </w:r>
    </w:p>
    <w:p>
      <w:pPr>
        <w:spacing w:after="140"/>
      </w:pPr>
      <w:r>
        <w:rPr>
          <w:rFonts w:ascii="Arial" w:cs="Arial" w:eastAsia="Arial" w:hAnsi="Arial"/>
          <w:color w:val="5C5C5C"/>
          <w:sz w:val="21"/>
          <w:szCs w:val="21"/>
        </w:rPr>
        <w:t xml:space="preserve">When approaching a bridge lender for MHP financing, come prepared with: a rent roll with current and market lot rents, utility billing structure and costs, a lot-by-lot condition assessment, your improvement budget with timeline, comparable lot rents in the market, and your exit strategy with target permanent financing terms.</w:t>
      </w:r>
    </w:p>
    <w:p>
      <w:pPr>
        <w:spacing w:after="140"/>
      </w:pPr>
      <w:r>
        <w:rPr>
          <w:rFonts w:ascii="Arial" w:cs="Arial" w:eastAsia="Arial" w:hAnsi="Arial"/>
          <w:color w:val="5C5C5C"/>
          <w:sz w:val="21"/>
          <w:szCs w:val="21"/>
        </w:rPr>
        <w:t xml:space="preserve">Evaluating a mobile home park acquisition? Request a term sheet from Requity Lending and get a response within 48 hours.</w:t>
      </w:r>
    </w:p>
    <w:p>
      <w:r>
        <w:br w:type="page"/>
      </w:r>
    </w:p>
    <w:p>
      <w:pPr>
        <w:spacing w:after="40"/>
      </w:pPr>
      <w:r>
        <w:rPr>
          <w:rFonts w:ascii="Arial" w:cs="Arial" w:eastAsia="Arial" w:hAnsi="Arial"/>
          <w:b/>
          <w:bCs/>
          <w:caps/>
          <w:color w:val="A08A4E"/>
          <w:spacing w:val="80"/>
          <w:sz w:val="18"/>
          <w:szCs w:val="18"/>
        </w:rPr>
        <w:t xml:space="preserve">POST 4 OF 7</w:t>
      </w:r>
    </w:p>
    <w:p>
      <w:pPr>
        <w:spacing w:after="60"/>
      </w:pPr>
      <w:r>
        <w:rPr>
          <w:rFonts w:ascii="Arial" w:cs="Arial" w:eastAsia="Arial" w:hAnsi="Arial"/>
          <w:color w:val="5C5C5C"/>
          <w:sz w:val="16"/>
          <w:szCs w:val="16"/>
        </w:rPr>
        <w:t xml:space="preserve">Thursday, March 26  |  Market Intelligence  |  Borrower</w:t>
      </w:r>
    </w:p>
    <w:p>
      <w:pPr>
        <w:spacing w:after="120"/>
      </w:pPr>
      <w:r>
        <w:rPr>
          <w:rFonts w:ascii="Arial" w:cs="Arial" w:eastAsia="Arial" w:hAnsi="Arial"/>
          <w:b/>
          <w:bCs/>
          <w:color w:val="0C1C30"/>
          <w:sz w:val="32"/>
          <w:szCs w:val="32"/>
        </w:rPr>
        <w:t xml:space="preserve">Q1 2026 Bridge Lending Market: Rates, Trends, and Opportunities</w:t>
      </w:r>
    </w:p>
    <w:p>
      <w:pPr>
        <w:pBdr>
          <w:bottom w:val="single" w:color="E0DCD4" w:sz="2" w:space="8"/>
        </w:pBdr>
        <w:spacing w:after="200"/>
      </w:pPr>
      <w:r>
        <w:rPr>
          <w:rFonts w:ascii="Arial" w:cs="Arial" w:eastAsia="Arial" w:hAnsi="Arial"/>
          <w:b/>
          <w:bCs/>
          <w:color w:val="5C5C5C"/>
          <w:sz w:val="18"/>
          <w:szCs w:val="18"/>
        </w:rPr>
        <w:t xml:space="preserve">SEO Meta: </w:t>
      </w:r>
      <w:r>
        <w:rPr>
          <w:rFonts w:ascii="Arial" w:cs="Arial" w:eastAsia="Arial" w:hAnsi="Arial"/>
          <w:i/>
          <w:iCs/>
          <w:color w:val="5C5C5C"/>
          <w:sz w:val="18"/>
          <w:szCs w:val="18"/>
        </w:rPr>
        <w:t xml:space="preserve">Q1 2026 bridge loan rates range 9-12% with improving conditions for borrowers. Market update on rates, deal flow, and property type pricing tiers.</w:t>
      </w:r>
    </w:p>
    <w:p>
      <w:pPr>
        <w:spacing w:after="140"/>
      </w:pPr>
      <w:r>
        <w:rPr>
          <w:rFonts w:ascii="Arial" w:cs="Arial" w:eastAsia="Arial" w:hAnsi="Arial"/>
          <w:color w:val="5C5C5C"/>
          <w:sz w:val="21"/>
          <w:szCs w:val="21"/>
        </w:rPr>
        <w:t xml:space="preserve">The bridge lending market entering Q1 2026 reflects a stabilizing rate environment with strong borrower demand. After two years of elevated rates, the market has found a pricing equilibrium that is creating opportunities for well-capitalized investors who can execute quickly.</w:t>
      </w:r>
    </w:p>
    <w:p>
      <w:pPr>
        <w:spacing w:after="120" w:before="240"/>
      </w:pPr>
      <w:r>
        <w:rPr>
          <w:rFonts w:ascii="Arial" w:cs="Arial" w:eastAsia="Arial" w:hAnsi="Arial"/>
          <w:b/>
          <w:bCs/>
          <w:color w:val="0C1C30"/>
          <w:sz w:val="24"/>
          <w:szCs w:val="24"/>
        </w:rPr>
        <w:t xml:space="preserve">RATE ENVIRONMENT</w:t>
      </w:r>
    </w:p>
    <w:p>
      <w:pPr>
        <w:spacing w:after="140"/>
      </w:pPr>
      <w:r>
        <w:rPr>
          <w:rFonts w:ascii="Arial" w:cs="Arial" w:eastAsia="Arial" w:hAnsi="Arial"/>
          <w:color w:val="5C5C5C"/>
          <w:sz w:val="21"/>
          <w:szCs w:val="21"/>
        </w:rPr>
        <w:t xml:space="preserve">Bridge loan rates for commercial real estate transactions are currently ranging from 9% to 12%, depending on leverage, property type, and sponsor experience. This represents a modest compression from the 10-13% range seen through much of 2024. The narrowing reflects increased competition among private lenders and improved capital market conditions.</w:t>
      </w:r>
    </w:p>
    <w:p>
      <w:pPr>
        <w:spacing w:after="140"/>
      </w:pPr>
      <w:r>
        <w:rPr>
          <w:rFonts w:ascii="Arial" w:cs="Arial" w:eastAsia="Arial" w:hAnsi="Arial"/>
          <w:color w:val="5C5C5C"/>
          <w:sz w:val="21"/>
          <w:szCs w:val="21"/>
        </w:rPr>
        <w:t xml:space="preserve">The Federal Reserve's rate stance continues to anchor the short end of the yield curve, but bridge lenders have been absorbing some of the elevated base rates through tighter spreads as deal competition increases. For borrowers, this means the gap between the best-priced bridge loan and the average bridge loan has widened, making lender selection more important than at any point in the past three years.</w:t>
      </w:r>
    </w:p>
    <w:p>
      <w:pPr>
        <w:spacing w:after="120" w:before="240"/>
      </w:pPr>
      <w:r>
        <w:rPr>
          <w:rFonts w:ascii="Arial" w:cs="Arial" w:eastAsia="Arial" w:hAnsi="Arial"/>
          <w:b/>
          <w:bCs/>
          <w:color w:val="0C1C30"/>
          <w:sz w:val="24"/>
          <w:szCs w:val="24"/>
        </w:rPr>
        <w:t xml:space="preserve">PROPERTY TYPE PRICING TIERS</w:t>
      </w:r>
    </w:p>
    <w:p>
      <w:pPr>
        <w:spacing w:after="140"/>
      </w:pPr>
      <w:r>
        <w:rPr>
          <w:rFonts w:ascii="Arial" w:cs="Arial" w:eastAsia="Arial" w:hAnsi="Arial"/>
          <w:color w:val="5C5C5C"/>
          <w:sz w:val="21"/>
          <w:szCs w:val="21"/>
        </w:rPr>
        <w:t xml:space="preserve">Rate differentiation by property type has become more pronounced:</w:t>
      </w:r>
    </w:p>
    <w:p>
      <w:pPr>
        <w:pStyle w:val="ListParagraph"/>
        <w:numPr>
          <w:ilvl w:val="0"/>
          <w:numId w:val="2"/>
        </w:numPr>
        <w:spacing w:after="60"/>
      </w:pPr>
      <w:r>
        <w:rPr>
          <w:rFonts w:ascii="Arial" w:cs="Arial" w:eastAsia="Arial" w:hAnsi="Arial"/>
          <w:color w:val="5C5C5C"/>
          <w:sz w:val="21"/>
          <w:szCs w:val="21"/>
        </w:rPr>
        <w:t xml:space="preserve">Multifamily (stabilized): 9.0-10.5%. Strongest pricing due to clear refinance exits and consistent demand.</w:t>
      </w:r>
    </w:p>
    <w:p>
      <w:pPr>
        <w:pStyle w:val="ListParagraph"/>
        <w:numPr>
          <w:ilvl w:val="0"/>
          <w:numId w:val="2"/>
        </w:numPr>
        <w:spacing w:after="60"/>
      </w:pPr>
      <w:r>
        <w:rPr>
          <w:rFonts w:ascii="Arial" w:cs="Arial" w:eastAsia="Arial" w:hAnsi="Arial"/>
          <w:color w:val="5C5C5C"/>
          <w:sz w:val="21"/>
          <w:szCs w:val="21"/>
        </w:rPr>
        <w:t xml:space="preserve">Manufactured housing communities: 9.5-11.0%. Improving as more lenders gain comfort with the asset class. Parks with lot-rent-only models price best.</w:t>
      </w:r>
    </w:p>
    <w:p>
      <w:pPr>
        <w:pStyle w:val="ListParagraph"/>
        <w:numPr>
          <w:ilvl w:val="0"/>
          <w:numId w:val="2"/>
        </w:numPr>
        <w:spacing w:after="60"/>
      </w:pPr>
      <w:r>
        <w:rPr>
          <w:rFonts w:ascii="Arial" w:cs="Arial" w:eastAsia="Arial" w:hAnsi="Arial"/>
          <w:color w:val="5C5C5C"/>
          <w:sz w:val="21"/>
          <w:szCs w:val="21"/>
        </w:rPr>
        <w:t xml:space="preserve">Mixed-use and retail: 10.0-11.5%. Wider range based on tenant quality and lease terms.</w:t>
      </w:r>
    </w:p>
    <w:p>
      <w:pPr>
        <w:pStyle w:val="ListParagraph"/>
        <w:numPr>
          <w:ilvl w:val="0"/>
          <w:numId w:val="2"/>
        </w:numPr>
        <w:spacing w:after="60"/>
      </w:pPr>
      <w:r>
        <w:rPr>
          <w:rFonts w:ascii="Arial" w:cs="Arial" w:eastAsia="Arial" w:hAnsi="Arial"/>
          <w:color w:val="5C5C5C"/>
          <w:sz w:val="21"/>
          <w:szCs w:val="21"/>
        </w:rPr>
        <w:t xml:space="preserve">Fix-and-flip residential: 10.0-12.0%. Volume-driven pricing; repeat borrowers get meaningfully better terms.</w:t>
      </w:r>
    </w:p>
    <w:p>
      <w:pPr>
        <w:pStyle w:val="ListParagraph"/>
        <w:numPr>
          <w:ilvl w:val="0"/>
          <w:numId w:val="2"/>
        </w:numPr>
        <w:spacing w:after="60"/>
      </w:pPr>
      <w:r>
        <w:rPr>
          <w:rFonts w:ascii="Arial" w:cs="Arial" w:eastAsia="Arial" w:hAnsi="Arial"/>
          <w:color w:val="5C5C5C"/>
          <w:sz w:val="21"/>
          <w:szCs w:val="21"/>
        </w:rPr>
        <w:t xml:space="preserve">Ground-up construction: 11.0-13.0%. Highest rates reflect execution risk and longer hold periods.</w:t>
      </w:r>
    </w:p>
    <w:p>
      <w:pPr>
        <w:spacing w:after="120" w:before="240"/>
      </w:pPr>
      <w:r>
        <w:rPr>
          <w:rFonts w:ascii="Arial" w:cs="Arial" w:eastAsia="Arial" w:hAnsi="Arial"/>
          <w:b/>
          <w:bCs/>
          <w:color w:val="0C1C30"/>
          <w:sz w:val="24"/>
          <w:szCs w:val="24"/>
        </w:rPr>
        <w:t xml:space="preserve">DEAL FLOW TRENDS</w:t>
      </w:r>
    </w:p>
    <w:p>
      <w:pPr>
        <w:spacing w:after="140"/>
      </w:pPr>
      <w:r>
        <w:rPr>
          <w:rFonts w:ascii="Arial" w:cs="Arial" w:eastAsia="Arial" w:hAnsi="Arial"/>
          <w:color w:val="5C5C5C"/>
          <w:sz w:val="21"/>
          <w:szCs w:val="21"/>
        </w:rPr>
        <w:t xml:space="preserve">Borrower demand for bridge financing has increased approximately 15-20% year-over-year in Q1 2026. The primary drivers are: an uptick in distressed asset sales as rate-stressed owners exit, continued value-add acquisition activity in multifamily and manufactured housing, and a growing pipeline of fix-and-flip projects as housing inventory constraints keep resale values elevated.</w:t>
      </w:r>
    </w:p>
    <w:p>
      <w:pPr>
        <w:spacing w:after="140"/>
      </w:pPr>
      <w:r>
        <w:rPr>
          <w:rFonts w:ascii="Arial" w:cs="Arial" w:eastAsia="Arial" w:hAnsi="Arial"/>
          <w:color w:val="5C5C5C"/>
          <w:sz w:val="21"/>
          <w:szCs w:val="21"/>
        </w:rPr>
        <w:t xml:space="preserve">The types of deals getting funded are shifting. Bridge lenders are showing stronger appetite for manufactured housing communities and workforce housing acquisitions, while pulling back slightly from speculative office conversions and high-LTV development deals.</w:t>
      </w:r>
    </w:p>
    <w:p>
      <w:pPr>
        <w:spacing w:after="120" w:before="240"/>
      </w:pPr>
      <w:r>
        <w:rPr>
          <w:rFonts w:ascii="Arial" w:cs="Arial" w:eastAsia="Arial" w:hAnsi="Arial"/>
          <w:b/>
          <w:bCs/>
          <w:color w:val="0C1C30"/>
          <w:sz w:val="24"/>
          <w:szCs w:val="24"/>
        </w:rPr>
        <w:t xml:space="preserve">WHAT THIS MEANS FOR BORROWERS</w:t>
      </w:r>
    </w:p>
    <w:p>
      <w:pPr>
        <w:spacing w:after="140"/>
      </w:pPr>
      <w:r>
        <w:rPr>
          <w:rFonts w:ascii="Arial" w:cs="Arial" w:eastAsia="Arial" w:hAnsi="Arial"/>
          <w:color w:val="5C5C5C"/>
          <w:sz w:val="21"/>
          <w:szCs w:val="21"/>
        </w:rPr>
        <w:t xml:space="preserve">Spring 2026 is a favorable window for bridge loan borrowers who can move quickly. The combination of competitive lender pricing and increasing distressed deal flow creates opportunities to acquire assets at favorable basis points. The borrowers who will benefit most are those with established lender relationships, clean track records, and the ability to close in 10-15 business days.</w:t>
      </w:r>
    </w:p>
    <w:p>
      <w:pPr>
        <w:spacing w:after="140"/>
      </w:pPr>
      <w:r>
        <w:rPr>
          <w:rFonts w:ascii="Arial" w:cs="Arial" w:eastAsia="Arial" w:hAnsi="Arial"/>
          <w:color w:val="5C5C5C"/>
          <w:sz w:val="21"/>
          <w:szCs w:val="21"/>
        </w:rPr>
        <w:t xml:space="preserve">If you are evaluating a deal and need to understand your financing options, Requity Lending provides term sheets within 48 hours. Our bridge loan programs cover commercial and residential acquisitions from $250K to $10M.</w:t>
      </w:r>
    </w:p>
    <w:p>
      <w:r>
        <w:br w:type="page"/>
      </w:r>
    </w:p>
    <w:p>
      <w:pPr>
        <w:spacing w:after="40"/>
      </w:pPr>
      <w:r>
        <w:rPr>
          <w:rFonts w:ascii="Arial" w:cs="Arial" w:eastAsia="Arial" w:hAnsi="Arial"/>
          <w:b/>
          <w:bCs/>
          <w:caps/>
          <w:color w:val="A08A4E"/>
          <w:spacing w:val="80"/>
          <w:sz w:val="18"/>
          <w:szCs w:val="18"/>
        </w:rPr>
        <w:t xml:space="preserve">POST 5 OF 7</w:t>
      </w:r>
    </w:p>
    <w:p>
      <w:pPr>
        <w:spacing w:after="60"/>
      </w:pPr>
      <w:r>
        <w:rPr>
          <w:rFonts w:ascii="Arial" w:cs="Arial" w:eastAsia="Arial" w:hAnsi="Arial"/>
          <w:color w:val="5C5C5C"/>
          <w:sz w:val="16"/>
          <w:szCs w:val="16"/>
        </w:rPr>
        <w:t xml:space="preserve">Friday, March 27  |  Behind the Portfolio  |  Investor</w:t>
      </w:r>
    </w:p>
    <w:p>
      <w:pPr>
        <w:spacing w:after="120"/>
      </w:pPr>
      <w:r>
        <w:rPr>
          <w:rFonts w:ascii="Arial" w:cs="Arial" w:eastAsia="Arial" w:hAnsi="Arial"/>
          <w:b/>
          <w:bCs/>
          <w:color w:val="0C1C30"/>
          <w:sz w:val="32"/>
          <w:szCs w:val="32"/>
        </w:rPr>
        <w:t xml:space="preserve">How We Underwrite 200 Deals to Fund 30</w:t>
      </w:r>
    </w:p>
    <w:p>
      <w:pPr>
        <w:pBdr>
          <w:bottom w:val="single" w:color="E0DCD4" w:sz="2" w:space="8"/>
        </w:pBdr>
        <w:spacing w:after="200"/>
      </w:pPr>
      <w:r>
        <w:rPr>
          <w:rFonts w:ascii="Arial" w:cs="Arial" w:eastAsia="Arial" w:hAnsi="Arial"/>
          <w:b/>
          <w:bCs/>
          <w:color w:val="5C5C5C"/>
          <w:sz w:val="18"/>
          <w:szCs w:val="18"/>
        </w:rPr>
        <w:t xml:space="preserve">SEO Meta: </w:t>
      </w:r>
      <w:r>
        <w:rPr>
          <w:rFonts w:ascii="Arial" w:cs="Arial" w:eastAsia="Arial" w:hAnsi="Arial"/>
          <w:i/>
          <w:iCs/>
          <w:color w:val="5C5C5C"/>
          <w:sz w:val="18"/>
          <w:szCs w:val="18"/>
        </w:rPr>
        <w:t xml:space="preserve">Requity evaluates 200 deals to fund 30. Learn how our multi-stage underwriting process protects investor capital and produces consistent risk-adjusted returns.</w:t>
      </w:r>
    </w:p>
    <w:p>
      <w:pPr>
        <w:spacing w:after="140"/>
      </w:pPr>
      <w:r>
        <w:rPr>
          <w:rFonts w:ascii="Arial" w:cs="Arial" w:eastAsia="Arial" w:hAnsi="Arial"/>
          <w:color w:val="5C5C5C"/>
          <w:sz w:val="21"/>
          <w:szCs w:val="21"/>
        </w:rPr>
        <w:t xml:space="preserve">Disciplined underwriting is not a marketing phrase at Requity. It is an operational reality that directly protects investor capital. For every 30 loans we fund, approximately 200 opportunities enter our pipeline. The 85% rejection rate is intentional and reflects a multi-stage evaluation process designed to identify and mitigate risk before capital is deployed.</w:t>
      </w:r>
    </w:p>
    <w:p>
      <w:pPr>
        <w:spacing w:after="120" w:before="240"/>
      </w:pPr>
      <w:r>
        <w:rPr>
          <w:rFonts w:ascii="Arial" w:cs="Arial" w:eastAsia="Arial" w:hAnsi="Arial"/>
          <w:b/>
          <w:bCs/>
          <w:color w:val="0C1C30"/>
          <w:sz w:val="24"/>
          <w:szCs w:val="24"/>
        </w:rPr>
        <w:t xml:space="preserve">STAGE 1: INITIAL SCREENING</w:t>
      </w:r>
    </w:p>
    <w:p>
      <w:pPr>
        <w:spacing w:after="140"/>
      </w:pPr>
      <w:r>
        <w:rPr>
          <w:rFonts w:ascii="Arial" w:cs="Arial" w:eastAsia="Arial" w:hAnsi="Arial"/>
          <w:color w:val="5C5C5C"/>
          <w:sz w:val="21"/>
          <w:szCs w:val="21"/>
        </w:rPr>
        <w:t xml:space="preserve">Every deal enters through a standardized intake that captures property type, location, loan amount, LTV request, borrower experience, and exit strategy. Approximately 40% of inquiries are filtered out at this stage for basic disqualifiers: LTV requests above our risk threshold, property types outside our lending parameters, or borrowers who cannot demonstrate a viable exit.</w:t>
      </w:r>
    </w:p>
    <w:p>
      <w:pPr>
        <w:spacing w:after="140"/>
      </w:pPr>
      <w:r>
        <w:rPr>
          <w:rFonts w:ascii="Arial" w:cs="Arial" w:eastAsia="Arial" w:hAnsi="Arial"/>
          <w:color w:val="5C5C5C"/>
          <w:sz w:val="21"/>
          <w:szCs w:val="21"/>
        </w:rPr>
        <w:t xml:space="preserve">This stage is fast and binary. We respond to every inquiry within 24 hours with either a preliminary term sheet or a clear explanation of why the deal does not fit. Speed matters for borrowers, and honest feedback early prevents wasted time on both sides.</w:t>
      </w:r>
    </w:p>
    <w:p>
      <w:pPr>
        <w:spacing w:after="120" w:before="240"/>
      </w:pPr>
      <w:r>
        <w:rPr>
          <w:rFonts w:ascii="Arial" w:cs="Arial" w:eastAsia="Arial" w:hAnsi="Arial"/>
          <w:b/>
          <w:bCs/>
          <w:color w:val="0C1C30"/>
          <w:sz w:val="24"/>
          <w:szCs w:val="24"/>
        </w:rPr>
        <w:t xml:space="preserve">STAGE 2: PROPERTY AND MARKET ANALYSIS</w:t>
      </w:r>
    </w:p>
    <w:p>
      <w:pPr>
        <w:spacing w:after="140"/>
      </w:pPr>
      <w:r>
        <w:rPr>
          <w:rFonts w:ascii="Arial" w:cs="Arial" w:eastAsia="Arial" w:hAnsi="Arial"/>
          <w:color w:val="5C5C5C"/>
          <w:sz w:val="21"/>
          <w:szCs w:val="21"/>
        </w:rPr>
        <w:t xml:space="preserve">Deals that pass initial screening enter a deeper analysis phase. Our team evaluates the property against comparable sales, rental comps, and market fundamentals. For value-add deals, we stress-test the borrower's renovation budget and projected ARV against conservative assumptions. For manufactured housing communities, we analyze lot rent comps, utility cost structures, and occupancy trends at the submarket level.</w:t>
      </w:r>
    </w:p>
    <w:p>
      <w:pPr>
        <w:spacing w:after="140"/>
      </w:pPr>
      <w:r>
        <w:rPr>
          <w:rFonts w:ascii="Arial" w:cs="Arial" w:eastAsia="Arial" w:hAnsi="Arial"/>
          <w:color w:val="5C5C5C"/>
          <w:sz w:val="21"/>
          <w:szCs w:val="21"/>
        </w:rPr>
        <w:t xml:space="preserve">Another 25% of deals are filtered here, typically because the borrower's projected returns rely on optimistic assumptions that our independent analysis does not support.</w:t>
      </w:r>
    </w:p>
    <w:p>
      <w:pPr>
        <w:spacing w:after="120" w:before="240"/>
      </w:pPr>
      <w:r>
        <w:rPr>
          <w:rFonts w:ascii="Arial" w:cs="Arial" w:eastAsia="Arial" w:hAnsi="Arial"/>
          <w:b/>
          <w:bCs/>
          <w:color w:val="0C1C30"/>
          <w:sz w:val="24"/>
          <w:szCs w:val="24"/>
        </w:rPr>
        <w:t xml:space="preserve">STAGE 3: BORROWER DUE DILIGENCE</w:t>
      </w:r>
    </w:p>
    <w:p>
      <w:pPr>
        <w:spacing w:after="140"/>
      </w:pPr>
      <w:r>
        <w:rPr>
          <w:rFonts w:ascii="Arial" w:cs="Arial" w:eastAsia="Arial" w:hAnsi="Arial"/>
          <w:color w:val="5C5C5C"/>
          <w:sz w:val="21"/>
          <w:szCs w:val="21"/>
        </w:rPr>
        <w:t xml:space="preserve">Sponsor evaluation goes beyond a credit check. We review the borrower's track record project by project: how many deals completed, what were the outcomes, did prior bridge loans pay off on time? Repeat borrowers with clean histories move through this stage quickly. New borrowers face additional scrutiny but are not automatically disqualified; strong deal fundamentals can compensate for limited history.</w:t>
      </w:r>
    </w:p>
    <w:p>
      <w:pPr>
        <w:spacing w:after="120" w:before="240"/>
      </w:pPr>
      <w:r>
        <w:rPr>
          <w:rFonts w:ascii="Arial" w:cs="Arial" w:eastAsia="Arial" w:hAnsi="Arial"/>
          <w:b/>
          <w:bCs/>
          <w:color w:val="0C1C30"/>
          <w:sz w:val="24"/>
          <w:szCs w:val="24"/>
        </w:rPr>
        <w:t xml:space="preserve">STAGE 4: CREDIT COMMITTEE</w:t>
      </w:r>
    </w:p>
    <w:p>
      <w:pPr>
        <w:spacing w:after="140"/>
      </w:pPr>
      <w:r>
        <w:rPr>
          <w:rFonts w:ascii="Arial" w:cs="Arial" w:eastAsia="Arial" w:hAnsi="Arial"/>
          <w:color w:val="5C5C5C"/>
          <w:sz w:val="21"/>
          <w:szCs w:val="21"/>
        </w:rPr>
        <w:t xml:space="preserve">Every deal that reaches credit committee is presented with a full risk memo covering property analysis, market assessment, borrower evaluation, and exit strategy viability. The committee reviews each deal independently and approves, conditions, or declines. Conditioned approvals may require additional equity, a lower LTV, or specific milestones tied to draw schedules.</w:t>
      </w:r>
    </w:p>
    <w:p>
      <w:pPr>
        <w:spacing w:after="120" w:before="240"/>
      </w:pPr>
      <w:r>
        <w:rPr>
          <w:rFonts w:ascii="Arial" w:cs="Arial" w:eastAsia="Arial" w:hAnsi="Arial"/>
          <w:b/>
          <w:bCs/>
          <w:color w:val="0C1C30"/>
          <w:sz w:val="24"/>
          <w:szCs w:val="24"/>
        </w:rPr>
        <w:t xml:space="preserve">WHAT THIS MEANS FOR INVESTORS</w:t>
      </w:r>
    </w:p>
    <w:p>
      <w:pPr>
        <w:spacing w:after="140"/>
      </w:pPr>
      <w:r>
        <w:rPr>
          <w:rFonts w:ascii="Arial" w:cs="Arial" w:eastAsia="Arial" w:hAnsi="Arial"/>
          <w:color w:val="5C5C5C"/>
          <w:sz w:val="21"/>
          <w:szCs w:val="21"/>
        </w:rPr>
        <w:t xml:space="preserve">The portfolio that results from this process has specific risk characteristics: weighted average LTV below 70%, diversified across property types and geographies, and populated exclusively with deals that survived scrutiny from multiple independent evaluators. No single deal represents an outsized concentration, and every loan has a documented, viable exit path.</w:t>
      </w:r>
    </w:p>
    <w:p>
      <w:pPr>
        <w:spacing w:after="140"/>
      </w:pPr>
      <w:r>
        <w:rPr>
          <w:rFonts w:ascii="Arial" w:cs="Arial" w:eastAsia="Arial" w:hAnsi="Arial"/>
          <w:color w:val="5C5C5C"/>
          <w:sz w:val="21"/>
          <w:szCs w:val="21"/>
        </w:rPr>
        <w:t xml:space="preserve">This is the discipline that produces consistent, risk-adjusted returns for our fund investors. If you are evaluating private real estate debt as an allocation, learn more about how Requity structures investor participation at requitygroup.com/invest.</w:t>
      </w:r>
    </w:p>
    <w:p>
      <w:r>
        <w:br w:type="page"/>
      </w:r>
    </w:p>
    <w:p>
      <w:pPr>
        <w:spacing w:after="40"/>
      </w:pPr>
      <w:r>
        <w:rPr>
          <w:rFonts w:ascii="Arial" w:cs="Arial" w:eastAsia="Arial" w:hAnsi="Arial"/>
          <w:b/>
          <w:bCs/>
          <w:caps/>
          <w:color w:val="A08A4E"/>
          <w:spacing w:val="80"/>
          <w:sz w:val="18"/>
          <w:szCs w:val="18"/>
        </w:rPr>
        <w:t xml:space="preserve">POST 6 OF 7</w:t>
      </w:r>
    </w:p>
    <w:p>
      <w:pPr>
        <w:spacing w:after="60"/>
      </w:pPr>
      <w:r>
        <w:rPr>
          <w:rFonts w:ascii="Arial" w:cs="Arial" w:eastAsia="Arial" w:hAnsi="Arial"/>
          <w:color w:val="5C5C5C"/>
          <w:sz w:val="16"/>
          <w:szCs w:val="16"/>
        </w:rPr>
        <w:t xml:space="preserve">Saturday, March 28  |  SEO Opportunistic  |  Both</w:t>
      </w:r>
    </w:p>
    <w:p>
      <w:pPr>
        <w:spacing w:after="120"/>
      </w:pPr>
      <w:r>
        <w:rPr>
          <w:rFonts w:ascii="Arial" w:cs="Arial" w:eastAsia="Arial" w:hAnsi="Arial"/>
          <w:b/>
          <w:bCs/>
          <w:color w:val="0C1C30"/>
          <w:sz w:val="32"/>
          <w:szCs w:val="32"/>
        </w:rPr>
        <w:t xml:space="preserve">Mobile Home Park Cap Rates in 2026: What Investors Are Paying</w:t>
      </w:r>
    </w:p>
    <w:p>
      <w:pPr>
        <w:pBdr>
          <w:bottom w:val="single" w:color="E0DCD4" w:sz="2" w:space="8"/>
        </w:pBdr>
        <w:spacing w:after="200"/>
      </w:pPr>
      <w:r>
        <w:rPr>
          <w:rFonts w:ascii="Arial" w:cs="Arial" w:eastAsia="Arial" w:hAnsi="Arial"/>
          <w:b/>
          <w:bCs/>
          <w:color w:val="5C5C5C"/>
          <w:sz w:val="18"/>
          <w:szCs w:val="18"/>
        </w:rPr>
        <w:t xml:space="preserve">SEO Meta: </w:t>
      </w:r>
      <w:r>
        <w:rPr>
          <w:rFonts w:ascii="Arial" w:cs="Arial" w:eastAsia="Arial" w:hAnsi="Arial"/>
          <w:i/>
          <w:iCs/>
          <w:color w:val="5C5C5C"/>
          <w:sz w:val="18"/>
          <w:szCs w:val="18"/>
        </w:rPr>
        <w:t xml:space="preserve">Mobile home park cap rates in 2026 range from 5.5% to 10%+ depending on quality and market. Explore current MHP pricing and where value-add opportunities exist.</w:t>
      </w:r>
    </w:p>
    <w:p>
      <w:pPr>
        <w:spacing w:after="140"/>
      </w:pPr>
      <w:r>
        <w:rPr>
          <w:rFonts w:ascii="Arial" w:cs="Arial" w:eastAsia="Arial" w:hAnsi="Arial"/>
          <w:color w:val="5C5C5C"/>
          <w:sz w:val="21"/>
          <w:szCs w:val="21"/>
        </w:rPr>
        <w:t xml:space="preserve">Mobile home park cap rates have compressed steadily over the past decade as institutional capital discovered the asset class. But the range between the best and worst-priced deals remains wider than most property types, creating opportunity for investors who understand what drives MHP valuations.</w:t>
      </w:r>
    </w:p>
    <w:p>
      <w:pPr>
        <w:spacing w:after="120" w:before="240"/>
      </w:pPr>
      <w:r>
        <w:rPr>
          <w:rFonts w:ascii="Arial" w:cs="Arial" w:eastAsia="Arial" w:hAnsi="Arial"/>
          <w:b/>
          <w:bCs/>
          <w:color w:val="0C1C30"/>
          <w:sz w:val="24"/>
          <w:szCs w:val="24"/>
        </w:rPr>
        <w:t xml:space="preserve">CURRENT CAP RATE RANGES</w:t>
      </w:r>
    </w:p>
    <w:p>
      <w:pPr>
        <w:spacing w:after="140"/>
      </w:pPr>
      <w:r>
        <w:rPr>
          <w:rFonts w:ascii="Arial" w:cs="Arial" w:eastAsia="Arial" w:hAnsi="Arial"/>
          <w:color w:val="5C5C5C"/>
          <w:sz w:val="21"/>
          <w:szCs w:val="21"/>
        </w:rPr>
        <w:t xml:space="preserve">As of Q1 2026, mobile home park transactions are pricing across a wide spectrum:</w:t>
      </w:r>
    </w:p>
    <w:p>
      <w:pPr>
        <w:pStyle w:val="ListParagraph"/>
        <w:numPr>
          <w:ilvl w:val="0"/>
          <w:numId w:val="2"/>
        </w:numPr>
        <w:spacing w:after="60"/>
      </w:pPr>
      <w:r>
        <w:rPr>
          <w:rFonts w:ascii="Arial" w:cs="Arial" w:eastAsia="Arial" w:hAnsi="Arial"/>
          <w:color w:val="5C5C5C"/>
          <w:sz w:val="21"/>
          <w:szCs w:val="21"/>
        </w:rPr>
        <w:t xml:space="preserve">Institutional-quality parks (100+ lots, metro locations, full infrastructure): 5.5-6.5% cap rates. These are professionally managed communities in strong MSAs with stable occupancy above 95% and lot rents at or near market.</w:t>
      </w:r>
    </w:p>
    <w:p>
      <w:pPr>
        <w:pStyle w:val="ListParagraph"/>
        <w:numPr>
          <w:ilvl w:val="0"/>
          <w:numId w:val="2"/>
        </w:numPr>
        <w:spacing w:after="60"/>
      </w:pPr>
      <w:r>
        <w:rPr>
          <w:rFonts w:ascii="Arial" w:cs="Arial" w:eastAsia="Arial" w:hAnsi="Arial"/>
          <w:color w:val="5C5C5C"/>
          <w:sz w:val="21"/>
          <w:szCs w:val="21"/>
        </w:rPr>
        <w:t xml:space="preserve">Mid-market parks (50-100 lots, secondary markets, solid fundamentals): 6.5-8.0% cap rates. This is the sweet spot for value-add investors. Parks often have below-market rents, some deferred maintenance, and room for operational improvement.</w:t>
      </w:r>
    </w:p>
    <w:p>
      <w:pPr>
        <w:pStyle w:val="ListParagraph"/>
        <w:numPr>
          <w:ilvl w:val="0"/>
          <w:numId w:val="2"/>
        </w:numPr>
        <w:spacing w:after="60"/>
      </w:pPr>
      <w:r>
        <w:rPr>
          <w:rFonts w:ascii="Arial" w:cs="Arial" w:eastAsia="Arial" w:hAnsi="Arial"/>
          <w:color w:val="5C5C5C"/>
          <w:sz w:val="21"/>
          <w:szCs w:val="21"/>
        </w:rPr>
        <w:t xml:space="preserve">Smaller or rural parks (under 50 lots, tertiary markets): 8.0-10.0%+ cap rates. Higher yields reflect lower liquidity, limited financing options, and higher operational intensity.</w:t>
      </w:r>
    </w:p>
    <w:p>
      <w:pPr>
        <w:spacing w:after="120" w:before="240"/>
      </w:pPr>
      <w:r>
        <w:rPr>
          <w:rFonts w:ascii="Arial" w:cs="Arial" w:eastAsia="Arial" w:hAnsi="Arial"/>
          <w:b/>
          <w:bCs/>
          <w:color w:val="0C1C30"/>
          <w:sz w:val="24"/>
          <w:szCs w:val="24"/>
        </w:rPr>
        <w:t xml:space="preserve">WHAT DRIVES CAP RATE COMPRESSION</w:t>
      </w:r>
    </w:p>
    <w:p>
      <w:pPr>
        <w:spacing w:after="140"/>
      </w:pPr>
      <w:r>
        <w:rPr>
          <w:rFonts w:ascii="Arial" w:cs="Arial" w:eastAsia="Arial" w:hAnsi="Arial"/>
          <w:color w:val="5C5C5C"/>
          <w:sz w:val="21"/>
          <w:szCs w:val="21"/>
        </w:rPr>
        <w:t xml:space="preserve">Several structural factors continue to push MHP cap rates lower:</w:t>
      </w:r>
    </w:p>
    <w:p>
      <w:pPr>
        <w:spacing w:after="140"/>
      </w:pPr>
      <w:r>
        <w:rPr>
          <w:rFonts w:ascii="Arial" w:cs="Arial" w:eastAsia="Arial" w:hAnsi="Arial"/>
          <w:color w:val="5C5C5C"/>
          <w:sz w:val="21"/>
          <w:szCs w:val="21"/>
        </w:rPr>
        <w:t xml:space="preserve">Supply constraints: Net new mobile home park development is near zero. Zoning restrictions effectively prevent new communities from being built in most markets. When supply cannot grow, existing assets become more valuable.</w:t>
      </w:r>
    </w:p>
    <w:p>
      <w:pPr>
        <w:spacing w:after="140"/>
      </w:pPr>
      <w:r>
        <w:rPr>
          <w:rFonts w:ascii="Arial" w:cs="Arial" w:eastAsia="Arial" w:hAnsi="Arial"/>
          <w:color w:val="5C5C5C"/>
          <w:sz w:val="21"/>
          <w:szCs w:val="21"/>
        </w:rPr>
        <w:t xml:space="preserve">Affordable housing demand: With median home prices exceeding $400,000 nationally and apartment rents consuming 30%+ of median household income in most metros, manufactured housing represents one of the last truly affordable housing options. This demand floor supports occupancy and rent growth.</w:t>
      </w:r>
    </w:p>
    <w:p>
      <w:pPr>
        <w:spacing w:after="140"/>
      </w:pPr>
      <w:r>
        <w:rPr>
          <w:rFonts w:ascii="Arial" w:cs="Arial" w:eastAsia="Arial" w:hAnsi="Arial"/>
          <w:color w:val="5C5C5C"/>
          <w:sz w:val="21"/>
          <w:szCs w:val="21"/>
        </w:rPr>
        <w:t xml:space="preserve">Institutional adoption: Large private equity firms and REITs have been active MHP acquirers since 2015, bringing institutional capital and pricing discipline to a previously fragmented market. Their presence validates the asset class but also increases competition for high-quality parks.</w:t>
      </w:r>
    </w:p>
    <w:p>
      <w:pPr>
        <w:spacing w:after="120" w:before="240"/>
      </w:pPr>
      <w:r>
        <w:rPr>
          <w:rFonts w:ascii="Arial" w:cs="Arial" w:eastAsia="Arial" w:hAnsi="Arial"/>
          <w:b/>
          <w:bCs/>
          <w:color w:val="0C1C30"/>
          <w:sz w:val="24"/>
          <w:szCs w:val="24"/>
        </w:rPr>
        <w:t xml:space="preserve">WHERE THE OPPORTUNITIES ARE</w:t>
      </w:r>
    </w:p>
    <w:p>
      <w:pPr>
        <w:spacing w:after="140"/>
      </w:pPr>
      <w:r>
        <w:rPr>
          <w:rFonts w:ascii="Arial" w:cs="Arial" w:eastAsia="Arial" w:hAnsi="Arial"/>
          <w:color w:val="5C5C5C"/>
          <w:sz w:val="21"/>
          <w:szCs w:val="21"/>
        </w:rPr>
        <w:t xml:space="preserve">The most attractive risk-adjusted returns in manufactured housing today are in the mid-market segment: parks with 50-100 lots in secondary markets where lot rents are 20-40% below comparable communities. These parks are too small for the largest institutional buyers but large enough to support professional management and efficient operations.</w:t>
      </w:r>
    </w:p>
    <w:p>
      <w:pPr>
        <w:spacing w:after="140"/>
      </w:pPr>
      <w:r>
        <w:rPr>
          <w:rFonts w:ascii="Arial" w:cs="Arial" w:eastAsia="Arial" w:hAnsi="Arial"/>
          <w:color w:val="5C5C5C"/>
          <w:sz w:val="21"/>
          <w:szCs w:val="21"/>
        </w:rPr>
        <w:t xml:space="preserve">The value-add playbook is well-established: acquire at a 7-8% cap rate, implement operational improvements over 12-18 months, and stabilize at a 6-7% cap rate on significantly higher NOI. The combination of NOI growth and cap rate compression can produce total returns that are difficult to achieve in other property types.</w:t>
      </w:r>
    </w:p>
    <w:p>
      <w:pPr>
        <w:spacing w:after="120" w:before="240"/>
      </w:pPr>
      <w:r>
        <w:rPr>
          <w:rFonts w:ascii="Arial" w:cs="Arial" w:eastAsia="Arial" w:hAnsi="Arial"/>
          <w:b/>
          <w:bCs/>
          <w:color w:val="0C1C30"/>
          <w:sz w:val="24"/>
          <w:szCs w:val="24"/>
        </w:rPr>
        <w:t xml:space="preserve">FINANCING CONSIDERATIONS</w:t>
      </w:r>
    </w:p>
    <w:p>
      <w:pPr>
        <w:spacing w:after="140"/>
      </w:pPr>
      <w:r>
        <w:rPr>
          <w:rFonts w:ascii="Arial" w:cs="Arial" w:eastAsia="Arial" w:hAnsi="Arial"/>
          <w:color w:val="5C5C5C"/>
          <w:sz w:val="21"/>
          <w:szCs w:val="21"/>
        </w:rPr>
        <w:t xml:space="preserve">Cap rate analysis must account for financing costs. At current bridge loan rates of 9.5-11% for MHP acquisitions, investors need to be confident in their ability to stabilize the asset and refinance into permanent financing (agency debt at 5.5-7%) within 12-18 months. The spread between going-in cap rate and bridge loan rate will be negative during the value-add period, which means the business plan and exit must be executed on schedule.</w:t>
      </w:r>
    </w:p>
    <w:p>
      <w:pPr>
        <w:spacing w:after="140"/>
      </w:pPr>
      <w:r>
        <w:rPr>
          <w:rFonts w:ascii="Arial" w:cs="Arial" w:eastAsia="Arial" w:hAnsi="Arial"/>
          <w:color w:val="5C5C5C"/>
          <w:sz w:val="21"/>
          <w:szCs w:val="21"/>
        </w:rPr>
        <w:t xml:space="preserve">Requity Lending provides bridge financing specifically structured for manufactured housing acquisitions, with terms designed around the MHP stabilization timeline. Requity Group also invests directly in manufactured housing communities through our fund platform.</w:t>
      </w:r>
    </w:p>
    <w:p>
      <w:r>
        <w:br w:type="page"/>
      </w:r>
    </w:p>
    <w:p>
      <w:pPr>
        <w:spacing w:after="40"/>
      </w:pPr>
      <w:r>
        <w:rPr>
          <w:rFonts w:ascii="Arial" w:cs="Arial" w:eastAsia="Arial" w:hAnsi="Arial"/>
          <w:b/>
          <w:bCs/>
          <w:caps/>
          <w:color w:val="A08A4E"/>
          <w:spacing w:val="80"/>
          <w:sz w:val="18"/>
          <w:szCs w:val="18"/>
        </w:rPr>
        <w:t xml:space="preserve">POST 7 OF 7</w:t>
      </w:r>
    </w:p>
    <w:p>
      <w:pPr>
        <w:spacing w:after="60"/>
      </w:pPr>
      <w:r>
        <w:rPr>
          <w:rFonts w:ascii="Arial" w:cs="Arial" w:eastAsia="Arial" w:hAnsi="Arial"/>
          <w:color w:val="5C5C5C"/>
          <w:sz w:val="16"/>
          <w:szCs w:val="16"/>
        </w:rPr>
        <w:t xml:space="preserve">Sunday, March 29  |  Borrower Stories  |  Borrower</w:t>
      </w:r>
    </w:p>
    <w:p>
      <w:pPr>
        <w:spacing w:after="120"/>
      </w:pPr>
      <w:r>
        <w:rPr>
          <w:rFonts w:ascii="Arial" w:cs="Arial" w:eastAsia="Arial" w:hAnsi="Arial"/>
          <w:b/>
          <w:bCs/>
          <w:color w:val="0C1C30"/>
          <w:sz w:val="32"/>
          <w:szCs w:val="32"/>
        </w:rPr>
        <w:t xml:space="preserve">From Vacant Lots to Full Occupancy: A Bridge Loan MHP Case Study</w:t>
      </w:r>
    </w:p>
    <w:p>
      <w:pPr>
        <w:pBdr>
          <w:bottom w:val="single" w:color="E0DCD4" w:sz="2" w:space="8"/>
        </w:pBdr>
        <w:spacing w:after="200"/>
      </w:pPr>
      <w:r>
        <w:rPr>
          <w:rFonts w:ascii="Arial" w:cs="Arial" w:eastAsia="Arial" w:hAnsi="Arial"/>
          <w:b/>
          <w:bCs/>
          <w:color w:val="5C5C5C"/>
          <w:sz w:val="18"/>
          <w:szCs w:val="18"/>
        </w:rPr>
        <w:t xml:space="preserve">SEO Meta: </w:t>
      </w:r>
      <w:r>
        <w:rPr>
          <w:rFonts w:ascii="Arial" w:cs="Arial" w:eastAsia="Arial" w:hAnsi="Arial"/>
          <w:i/>
          <w:iCs/>
          <w:color w:val="5C5C5C"/>
          <w:sz w:val="18"/>
          <w:szCs w:val="18"/>
        </w:rPr>
        <w:t xml:space="preserve">Case study: a 68-lot mobile home park went from 40% vacancy to 92% occupancy in 14 months using bridge financing. See the full deal structure and returns.</w:t>
      </w:r>
    </w:p>
    <w:p>
      <w:pPr>
        <w:spacing w:after="140"/>
      </w:pPr>
      <w:r>
        <w:rPr>
          <w:rFonts w:ascii="Arial" w:cs="Arial" w:eastAsia="Arial" w:hAnsi="Arial"/>
          <w:color w:val="5C5C5C"/>
          <w:sz w:val="21"/>
          <w:szCs w:val="21"/>
        </w:rPr>
        <w:t xml:space="preserve">This case study illustrates how bridge financing enables mobile home park acquisitions that conventional lenders will not touch. The deal details have been generalized to protect borrower confidentiality, but the structure, timeline, and economics reflect a real transaction pattern common in our lending portfolio.</w:t>
      </w:r>
    </w:p>
    <w:p>
      <w:pPr>
        <w:spacing w:after="120" w:before="240"/>
      </w:pPr>
      <w:r>
        <w:rPr>
          <w:rFonts w:ascii="Arial" w:cs="Arial" w:eastAsia="Arial" w:hAnsi="Arial"/>
          <w:b/>
          <w:bCs/>
          <w:color w:val="0C1C30"/>
          <w:sz w:val="24"/>
          <w:szCs w:val="24"/>
        </w:rPr>
        <w:t xml:space="preserve">THE OPPORTUNITY</w:t>
      </w:r>
    </w:p>
    <w:p>
      <w:pPr>
        <w:spacing w:after="140"/>
      </w:pPr>
      <w:r>
        <w:rPr>
          <w:rFonts w:ascii="Arial" w:cs="Arial" w:eastAsia="Arial" w:hAnsi="Arial"/>
          <w:color w:val="5C5C5C"/>
          <w:sz w:val="21"/>
          <w:szCs w:val="21"/>
        </w:rPr>
        <w:t xml:space="preserve">A 68-lot manufactured housing community in a secondary market in the Southeast was listed for sale by a retiring owner-operator who had managed the property for over 20 years. The park had solid infrastructure (city water and sewer) but suffered from deferred maintenance and inconsistent management. Occupancy sat at 60%, with 27 vacant lots and several abandoned homes. Lot rents were $225/month in a market where comparable communities charged $350-$400/month.</w:t>
      </w:r>
    </w:p>
    <w:p>
      <w:pPr>
        <w:spacing w:after="140"/>
      </w:pPr>
      <w:r>
        <w:rPr>
          <w:rFonts w:ascii="Arial" w:cs="Arial" w:eastAsia="Arial" w:hAnsi="Arial"/>
          <w:color w:val="5C5C5C"/>
          <w:sz w:val="21"/>
          <w:szCs w:val="21"/>
        </w:rPr>
        <w:t xml:space="preserve">The asking price was $1.1M, reflecting the property's underperforming condition. At stabilized operations, the estimated value was $2.2-$2.5M.</w:t>
      </w:r>
    </w:p>
    <w:p>
      <w:pPr>
        <w:spacing w:after="120" w:before="240"/>
      </w:pPr>
      <w:r>
        <w:rPr>
          <w:rFonts w:ascii="Arial" w:cs="Arial" w:eastAsia="Arial" w:hAnsi="Arial"/>
          <w:b/>
          <w:bCs/>
          <w:color w:val="0C1C30"/>
          <w:sz w:val="24"/>
          <w:szCs w:val="24"/>
        </w:rPr>
        <w:t xml:space="preserve">WHY BRIDGE FINANCING WAS NECESSARY</w:t>
      </w:r>
    </w:p>
    <w:p>
      <w:pPr>
        <w:spacing w:after="140"/>
      </w:pPr>
      <w:r>
        <w:rPr>
          <w:rFonts w:ascii="Arial" w:cs="Arial" w:eastAsia="Arial" w:hAnsi="Arial"/>
          <w:color w:val="5C5C5C"/>
          <w:sz w:val="21"/>
          <w:szCs w:val="21"/>
        </w:rPr>
        <w:t xml:space="preserve">No conventional lender would finance this deal. The 40% vacancy rate, below-market rents, and deferred maintenance made it ineligible for agency debt or traditional bank financing. The seller also wanted to close within 30 days, making a conventional timeline impossible even if a lender would approve the deal.</w:t>
      </w:r>
    </w:p>
    <w:p>
      <w:pPr>
        <w:spacing w:after="120" w:before="240"/>
      </w:pPr>
      <w:r>
        <w:rPr>
          <w:rFonts w:ascii="Arial" w:cs="Arial" w:eastAsia="Arial" w:hAnsi="Arial"/>
          <w:b/>
          <w:bCs/>
          <w:color w:val="0C1C30"/>
          <w:sz w:val="24"/>
          <w:szCs w:val="24"/>
        </w:rPr>
        <w:t xml:space="preserve">THE FINANCING STRUCTURE</w:t>
      </w:r>
    </w:p>
    <w:p>
      <w:pPr>
        <w:pStyle w:val="ListParagraph"/>
        <w:numPr>
          <w:ilvl w:val="0"/>
          <w:numId w:val="2"/>
        </w:numPr>
        <w:spacing w:after="60"/>
      </w:pPr>
      <w:r>
        <w:rPr>
          <w:rFonts w:ascii="Arial" w:cs="Arial" w:eastAsia="Arial" w:hAnsi="Arial"/>
          <w:color w:val="5C5C5C"/>
          <w:sz w:val="21"/>
          <w:szCs w:val="21"/>
        </w:rPr>
        <w:t xml:space="preserve">Bridge loan: $825,000 (75% LTV on purchase price)</w:t>
      </w:r>
    </w:p>
    <w:p>
      <w:pPr>
        <w:pStyle w:val="ListParagraph"/>
        <w:numPr>
          <w:ilvl w:val="0"/>
          <w:numId w:val="2"/>
        </w:numPr>
        <w:spacing w:after="60"/>
      </w:pPr>
      <w:r>
        <w:rPr>
          <w:rFonts w:ascii="Arial" w:cs="Arial" w:eastAsia="Arial" w:hAnsi="Arial"/>
          <w:color w:val="5C5C5C"/>
          <w:sz w:val="21"/>
          <w:szCs w:val="21"/>
        </w:rPr>
        <w:t xml:space="preserve">Improvement holdback: $180,000 (for infrastructure repairs, lot preparation, and home placement)</w:t>
      </w:r>
    </w:p>
    <w:p>
      <w:pPr>
        <w:pStyle w:val="ListParagraph"/>
        <w:numPr>
          <w:ilvl w:val="0"/>
          <w:numId w:val="2"/>
        </w:numPr>
        <w:spacing w:after="60"/>
      </w:pPr>
      <w:r>
        <w:rPr>
          <w:rFonts w:ascii="Arial" w:cs="Arial" w:eastAsia="Arial" w:hAnsi="Arial"/>
          <w:color w:val="5C5C5C"/>
          <w:sz w:val="21"/>
          <w:szCs w:val="21"/>
        </w:rPr>
        <w:t xml:space="preserve">Total bridge facility: $1,005,000</w:t>
      </w:r>
    </w:p>
    <w:p>
      <w:pPr>
        <w:pStyle w:val="ListParagraph"/>
        <w:numPr>
          <w:ilvl w:val="0"/>
          <w:numId w:val="2"/>
        </w:numPr>
        <w:spacing w:after="60"/>
      </w:pPr>
      <w:r>
        <w:rPr>
          <w:rFonts w:ascii="Arial" w:cs="Arial" w:eastAsia="Arial" w:hAnsi="Arial"/>
          <w:color w:val="5C5C5C"/>
          <w:sz w:val="21"/>
          <w:szCs w:val="21"/>
        </w:rPr>
        <w:t xml:space="preserve">Rate: 10.5% interest-only</w:t>
      </w:r>
    </w:p>
    <w:p>
      <w:pPr>
        <w:pStyle w:val="ListParagraph"/>
        <w:numPr>
          <w:ilvl w:val="0"/>
          <w:numId w:val="2"/>
        </w:numPr>
        <w:spacing w:after="60"/>
      </w:pPr>
      <w:r>
        <w:rPr>
          <w:rFonts w:ascii="Arial" w:cs="Arial" w:eastAsia="Arial" w:hAnsi="Arial"/>
          <w:color w:val="5C5C5C"/>
          <w:sz w:val="21"/>
          <w:szCs w:val="21"/>
        </w:rPr>
        <w:t xml:space="preserve">Term: 18 months with option to extend 6 months</w:t>
      </w:r>
    </w:p>
    <w:p>
      <w:pPr>
        <w:pStyle w:val="ListParagraph"/>
        <w:numPr>
          <w:ilvl w:val="0"/>
          <w:numId w:val="2"/>
        </w:numPr>
        <w:spacing w:after="60"/>
      </w:pPr>
      <w:r>
        <w:rPr>
          <w:rFonts w:ascii="Arial" w:cs="Arial" w:eastAsia="Arial" w:hAnsi="Arial"/>
          <w:color w:val="5C5C5C"/>
          <w:sz w:val="21"/>
          <w:szCs w:val="21"/>
        </w:rPr>
        <w:t xml:space="preserve">Borrower equity: $275,000 (for down payment plus closing costs)</w:t>
      </w:r>
    </w:p>
    <w:p>
      <w:pPr>
        <w:spacing w:after="140"/>
      </w:pPr>
      <w:r>
        <w:rPr>
          <w:rFonts w:ascii="Arial" w:cs="Arial" w:eastAsia="Arial" w:hAnsi="Arial"/>
          <w:color w:val="5C5C5C"/>
          <w:sz w:val="21"/>
          <w:szCs w:val="21"/>
        </w:rPr>
        <w:t xml:space="preserve">The improvement holdback was structured with milestone-based draws: funds released as specific work was completed and verified.</w:t>
      </w:r>
    </w:p>
    <w:p>
      <w:pPr>
        <w:spacing w:after="120" w:before="240"/>
      </w:pPr>
      <w:r>
        <w:rPr>
          <w:rFonts w:ascii="Arial" w:cs="Arial" w:eastAsia="Arial" w:hAnsi="Arial"/>
          <w:b/>
          <w:bCs/>
          <w:color w:val="0C1C30"/>
          <w:sz w:val="24"/>
          <w:szCs w:val="24"/>
        </w:rPr>
        <w:t xml:space="preserve">EXECUTION TIMELINE</w:t>
      </w:r>
    </w:p>
    <w:p>
      <w:pPr>
        <w:spacing w:after="140"/>
      </w:pPr>
      <w:r>
        <w:rPr>
          <w:rFonts w:ascii="Arial" w:cs="Arial" w:eastAsia="Arial" w:hAnsi="Arial"/>
          <w:color w:val="5C5C5C"/>
          <w:sz w:val="21"/>
          <w:szCs w:val="21"/>
        </w:rPr>
        <w:t xml:space="preserve">Months 1-3: The borrower took over operations, installed a professional property manager, and began infrastructure repairs. Water line repairs and electrical upgrades were prioritized. The first lot rent increase was announced with 60-day notice, moving rents from $225 to $275/month.</w:t>
      </w:r>
    </w:p>
    <w:p>
      <w:pPr>
        <w:spacing w:after="140"/>
      </w:pPr>
      <w:r>
        <w:rPr>
          <w:rFonts w:ascii="Arial" w:cs="Arial" w:eastAsia="Arial" w:hAnsi="Arial"/>
          <w:color w:val="5C5C5C"/>
          <w:sz w:val="21"/>
          <w:szCs w:val="21"/>
        </w:rPr>
        <w:t xml:space="preserve">Months 4-8: Vacant lots were cleared and prepped. The borrower sourced 12 used manufactured homes at an average cost of $8,000-$12,000 each and placed them on vacant lots for rental. Community amenities (common area, signage, lighting) were upgraded.</w:t>
      </w:r>
    </w:p>
    <w:p>
      <w:pPr>
        <w:spacing w:after="140"/>
      </w:pPr>
      <w:r>
        <w:rPr>
          <w:rFonts w:ascii="Arial" w:cs="Arial" w:eastAsia="Arial" w:hAnsi="Arial"/>
          <w:color w:val="5C5C5C"/>
          <w:sz w:val="21"/>
          <w:szCs w:val="21"/>
        </w:rPr>
        <w:t xml:space="preserve">Months 9-14: Occupancy reached 92% (63 of 68 lots). A second rent increase brought lot rents to $325/month, still below market. Monthly NOI stabilized at approximately $14,500, up from $5,800 at acquisition.</w:t>
      </w:r>
    </w:p>
    <w:p>
      <w:pPr>
        <w:spacing w:after="140"/>
      </w:pPr>
      <w:r>
        <w:rPr>
          <w:rFonts w:ascii="Arial" w:cs="Arial" w:eastAsia="Arial" w:hAnsi="Arial"/>
          <w:color w:val="5C5C5C"/>
          <w:sz w:val="21"/>
          <w:szCs w:val="21"/>
        </w:rPr>
        <w:t xml:space="preserve">THE EXIT</w:t>
      </w:r>
    </w:p>
    <w:p>
      <w:pPr>
        <w:spacing w:after="140"/>
      </w:pPr>
      <w:r>
        <w:rPr>
          <w:rFonts w:ascii="Arial" w:cs="Arial" w:eastAsia="Arial" w:hAnsi="Arial"/>
          <w:color w:val="5C5C5C"/>
          <w:sz w:val="21"/>
          <w:szCs w:val="21"/>
        </w:rPr>
        <w:t xml:space="preserve">At month 14, the borrower refinanced into a Freddie Mac manufactured housing loan at 6.2% fixed for 10 years. The appraised value came in at $2.35M based on stabilized operations. The permanent loan of $1.65M (70% LTV) repaid the bridge facility in full, returned the borrower's equity, and provided approximately $370,000 in cash-out proceeds for the next acquisition.</w:t>
      </w:r>
    </w:p>
    <w:p>
      <w:pPr>
        <w:spacing w:after="120" w:before="240"/>
      </w:pPr>
      <w:r>
        <w:rPr>
          <w:rFonts w:ascii="Arial" w:cs="Arial" w:eastAsia="Arial" w:hAnsi="Arial"/>
          <w:b/>
          <w:bCs/>
          <w:color w:val="0C1C30"/>
          <w:sz w:val="24"/>
          <w:szCs w:val="24"/>
        </w:rPr>
        <w:t xml:space="preserve">THE NUMBERS</w:t>
      </w:r>
    </w:p>
    <w:p>
      <w:pPr>
        <w:spacing w:after="140"/>
      </w:pPr>
      <w:r>
        <w:rPr>
          <w:rFonts w:ascii="Arial" w:cs="Arial" w:eastAsia="Arial" w:hAnsi="Arial"/>
          <w:color w:val="5C5C5C"/>
          <w:sz w:val="21"/>
          <w:szCs w:val="21"/>
        </w:rPr>
        <w:t xml:space="preserve">Total capital invested: $275,000 borrower equity + $180,000 in improvements = $455,000. Value created: $2.35M appraised value minus $1.28M total cost basis = approximately $1.07M in equity. Return on equity: over 230% in 14 months, plus ongoing cash flow from the stabilized asset.</w:t>
      </w:r>
    </w:p>
    <w:p>
      <w:pPr>
        <w:spacing w:after="140"/>
      </w:pPr>
      <w:r>
        <w:rPr>
          <w:rFonts w:ascii="Arial" w:cs="Arial" w:eastAsia="Arial" w:hAnsi="Arial"/>
          <w:color w:val="5C5C5C"/>
          <w:sz w:val="21"/>
          <w:szCs w:val="21"/>
        </w:rPr>
        <w:t xml:space="preserve">Evaluating a similar opportunity? Requity Lending provides bridge financing for manufactured housing acquisitions with term sheets delivered in 48 hours.</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5C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C5C5C"/>
        <w:sz w:val="16"/>
        <w:szCs w:val="16"/>
      </w:rPr>
      <w:t xml:space="preserve">REQUITY GROUP  |  BLOG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2026-03-19T15:11:18.352Z</dcterms:created>
  <dcterms:modified xsi:type="dcterms:W3CDTF">2026-03-19T15:11:18.352Z</dcterms:modified>
</cp:coreProperties>
</file>

<file path=docProps/custom.xml><?xml version="1.0" encoding="utf-8"?>
<Properties xmlns="http://schemas.openxmlformats.org/officeDocument/2006/custom-properties" xmlns:vt="http://schemas.openxmlformats.org/officeDocument/2006/docPropsVTypes"/>
</file>