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A08A4E"/>
          <w:spacing w:val="80"/>
          <w:sz w:val="18"/>
          <w:szCs w:val="18"/>
        </w:rPr>
        <w:t xml:space="preserve">CONTENT STRATEGY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C1C30"/>
          <w:sz w:val="52"/>
          <w:szCs w:val="52"/>
        </w:rPr>
        <w:t xml:space="preserve">Requity Group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C1C30"/>
          <w:sz w:val="52"/>
          <w:szCs w:val="52"/>
        </w:rPr>
        <w:t xml:space="preserve">Insights Blog Plan</w:t>
      </w:r>
    </w:p>
    <w:p>
      <w:pPr>
        <w:spacing w:after="60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SEO-driven content strategy for borrower acquisition and investor credibility</w:t>
      </w:r>
    </w:p>
    <w:p>
      <w:pPr>
        <w:pBdr>
          <w:top w:val="single" w:color="A08A4E" w:sz="6" w:space="1"/>
        </w:pBdr>
        <w:spacing w:before="200"/>
      </w:pPr>
    </w:p>
    <w:p>
      <w:pPr>
        <w:spacing w:after="100"/>
      </w:pPr>
    </w:p>
    <w:p>
      <w:pPr>
        <w:tabs>
          <w:tab w:val="right" w:pos="9026"/>
        </w:tabs>
      </w:pPr>
      <w:r>
        <w:rPr>
          <w:rFonts w:ascii="Arial" w:cs="Arial" w:eastAsia="Arial" w:hAnsi="Arial"/>
          <w:color w:val="5C5C5C"/>
          <w:sz w:val="20"/>
          <w:szCs w:val="20"/>
        </w:rPr>
        <w:t xml:space="preserve">Prepared: March 19, 2026</w:t>
      </w:r>
    </w:p>
    <w:p>
      <w:r>
        <w:rPr>
          <w:rFonts w:ascii="Arial" w:cs="Arial" w:eastAsia="Arial" w:hAnsi="Arial"/>
          <w:color w:val="5C5C5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This plan establishes Requity Group's blog as an SEO-driven lead generation engine, targeting both borrowers seeking bridge financing and investors evaluating private real estate opportunities. The strategy prioritizes organic search traffic, with content designed to rank for high-intent keywords and convert visitors into loan applications or investor inquiries.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The blog will publish 7 posts per week (daily), split across two primary audience tracks and an SEO-opportunistic track. Most content will be branded as Requity Group, with periodic thought leadership pieces attributed to Dylan (investor content), Luis (lending), and Jet (acquisitions/asset management).</w:t>
      </w:r>
    </w:p>
    <w:p>
      <w:pPr>
        <w:pStyle w:val="Heading1"/>
      </w:pPr>
      <w:r>
        <w:t xml:space="preserve">The Two-Track Content Model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Every post maps to one of two audience tracks. This separation is critical because borrowers and investors have fundamentally different intent, search behavior, and conversion paths.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BORROWER TRACK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TRACK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Audience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Real estate investors, flippers, developers, property owners needing short-term financing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Accredited investors, family offices, wealth advisors evaluating private real estate allocations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Goal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Drive loan applications through Requity Lending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Build trust and drive investor inquiries for Requity fund products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Transactional: 'bridge loan rates,' 'fix and flip financing,' 'fast closing real estate loan'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Informational: 'private real estate returns,' 'bridge lending fund performance,' 'real estate debt vs equity'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Tone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Direct, practical, action-oriented. Speak to experienced operators, not beginners.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Analytical, data-grounded, institutional-quality. Demonstrate sophistication.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CTA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'Get a term sheet in 48 hours' / 'Apply now'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'Request investor materials' / 'Schedule a call'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Volume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4 posts/week (Mon, Tue, Wed, Thu)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2 posts/week (Tue, Fri)</w:t>
            </w:r>
          </w:p>
        </w:tc>
      </w:tr>
      <w:tr>
        <w:tc>
          <w:tcPr>
            <w:tcW w:type="dxa" w:w="234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Author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 (default), Luis (origination deep-dives)</w:t>
            </w:r>
          </w:p>
        </w:tc>
        <w:tc>
          <w:tcPr>
            <w:tcW w:type="dxa" w:w="351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 (default), Dylan (quarterly letters, thought leadership)</w:t>
            </w:r>
          </w:p>
        </w:tc>
      </w:tr>
    </w:tbl>
    <w:p>
      <w:pPr>
        <w:spacing w:after="200"/>
      </w:pP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The remaining 1 post/week (Saturday) is the SEO Opportunistic track: trending topics, comparison pieces, and keyword-gap content identified through search data. These target high-volume keywords regardless of audience and funnel readers into one of the two primary tracks.</w:t>
      </w:r>
    </w:p>
    <w:p>
      <w:pPr>
        <w:pStyle w:val="Heading1"/>
      </w:pPr>
      <w:r>
        <w:t xml:space="preserve">Content Categories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Each track has defined content categories. These map directly to filter tags on the /insights page and are stored in the 'category' and 'tags' fields in the database.</w:t>
      </w:r>
    </w:p>
    <w:p>
      <w:pPr>
        <w:spacing w:after="100"/>
      </w:pPr>
    </w:p>
    <w:p>
      <w:pPr>
        <w:pStyle w:val="Heading2"/>
      </w:pPr>
      <w:r>
        <w:t xml:space="preserve">Borrower Track Categories</w:t>
      </w:r>
    </w:p>
    <w:p>
      <w:pPr>
        <w:pStyle w:val="Heading3"/>
      </w:pPr>
      <w:r>
        <w:t xml:space="preserve">Bridge Lending 101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Educational content explaining bridge loan mechanics, qualification criteria, rate structures, and use cases. This is your highest-volume SEO category, targeting keywords like 'what is a bridge loan,' 'bridge loan requirements,' and 'bridge loan vs hard money.'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Example: 'Bridge Loan Interest Rates in 2026: What Borrowers Should Expect'</w:t>
      </w:r>
    </w:p>
    <w:p>
      <w:pPr>
        <w:pStyle w:val="Heading3"/>
      </w:pPr>
      <w:r>
        <w:t xml:space="preserve">Deal Playbooks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Tactical guides for specific deal types: fix-and-flip, ground-up construction, multifamily value-add, commercial repositioning. These target long-tail keywords with high purchase intent.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Example: 'The Fix-and-Flip Financing Timeline: From Application to Closing in 10 Days'</w:t>
      </w:r>
    </w:p>
    <w:p>
      <w:pPr>
        <w:pStyle w:val="Heading3"/>
      </w:pPr>
      <w:r>
        <w:t xml:space="preserve">Market Intelligence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Data-driven market analysis for active borrowers: rate environment updates, regional opportunity maps, construction cost trends. Positions Requity as a market expert, not just a capital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Example: 'Q1 2026 Bridge Lending Market: Rate Trends and What They Mean for Your Next Deal'</w:t>
      </w:r>
    </w:p>
    <w:p>
      <w:pPr>
        <w:pStyle w:val="Heading3"/>
      </w:pPr>
      <w:r>
        <w:t xml:space="preserve">Borrower Success Stories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Anonymized (or named, with permission) case studies showing real deals financed through Requity Lending: the problem, the financing solution, and the outcome. Strongest conversion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 (rotating with other categories when stories are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Example: 'How a Dallas Investor Used a Bridge Loan to Acquire and Stabilize a 12-Unit Multifamily'</w:t>
      </w:r>
    </w:p>
    <w:p>
      <w:pPr>
        <w:spacing w:after="200"/>
      </w:pPr>
    </w:p>
    <w:p>
      <w:pPr>
        <w:pStyle w:val="Heading2"/>
      </w:pPr>
      <w:r>
        <w:t xml:space="preserve">Investor Track Categories</w:t>
      </w:r>
    </w:p>
    <w:p>
      <w:pPr>
        <w:pStyle w:val="Heading3"/>
      </w:pPr>
      <w:r>
        <w:t xml:space="preserve">Investment Insights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Analytical content on private real estate returns, portfolio construction, risk-adjusted performance, and fund structures. Targets investors researching allocations. This is where Dylan's attributed pieces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Example: 'Why Private Real Estate Debt Outperformed Equity in 2025'</w:t>
      </w:r>
    </w:p>
    <w:p>
      <w:pPr>
        <w:pStyle w:val="Heading3"/>
      </w:pPr>
      <w:r>
        <w:t xml:space="preserve">Behind the Portfolio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Transparency content: how Requity selects deals, underwriting discipline, asset management approach, and portfolio performance commentary. Builds the trust that converts an inquiry into a commitment.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Example: 'Inside Our Underwriting: How We Evaluate 200 Deals to Fund 30'</w:t>
      </w:r>
    </w:p>
    <w:p>
      <w:pPr>
        <w:spacing w:after="200"/>
      </w:pPr>
    </w:p>
    <w:p>
      <w:pPr>
        <w:pStyle w:val="Heading2"/>
      </w:pPr>
      <w:r>
        <w:t xml:space="preserve">SEO Opportunistic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Comparison articles, trend pieces, and keyword-gap content. These chase volume and rankings rather than a specific audience. Examples: 'DSCR Loans Explained,' 'Best Markets for Real Estate Investing in 2026,' 'Bridge Loan vs. Construction Loan: Which Do You Need?'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Target: 1 post/week (Saturday)</w:t>
      </w:r>
    </w:p>
    <w:p>
      <w:pPr>
        <w:pStyle w:val="Heading1"/>
      </w:pPr>
      <w:r>
        <w:t xml:space="preserve">Weekly Publishing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730"/>
        <w:gridCol w:w="1730"/>
      </w:tblGrid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 Lending 101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800-1,200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Tuesday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Investment Insights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Investor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 / Dylan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1,000-1,500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Wednesday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Deal Playbooks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 / Luis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1,000-1,500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800-1,200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Behind the Portfolio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Investor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 / Dylan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1,000-1,500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Saturday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SEO Opportunistic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Both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1,200-2,000</w:t>
            </w:r>
          </w:p>
        </w:tc>
      </w:tr>
      <w:tr>
        <w:tc>
          <w:tcPr>
            <w:tcW w:type="dxa" w:w="15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F8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Sunday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 Stories</w:t>
            </w:r>
          </w:p>
        </w:tc>
        <w:tc>
          <w:tcPr>
            <w:tcW w:type="dxa" w:w="22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Requity Group</w:t>
            </w:r>
          </w:p>
        </w:tc>
        <w:tc>
          <w:tcPr>
            <w:tcW w:type="dxa" w:w="173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800-1,200</w:t>
            </w:r>
          </w:p>
        </w:tc>
      </w:tr>
    </w:tbl>
    <w:p>
      <w:pPr>
        <w:spacing w:after="200"/>
      </w:pP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Annual output: ~365 posts. Borrower track: ~210 posts/year. Investor track: ~105 posts/year. SEO opportunistic: ~50 posts/year. This volume is competitive with Kiavi (2-3/week) and exceeds RCN Capital (1.5-2/week), establishing topical authority faster.</w:t>
      </w:r>
    </w:p>
    <w:p>
      <w:pPr>
        <w:pStyle w:val="Heading1"/>
      </w:pPr>
      <w:r>
        <w:t xml:space="preserve">Site Filtering &amp; UX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The /insights page needs category filters so visitors self-select into their track. Here is the recommended implementation:</w:t>
      </w:r>
    </w:p>
    <w:p>
      <w:pPr>
        <w:pStyle w:val="Heading2"/>
      </w:pPr>
      <w:r>
        <w:t xml:space="preserve">Primary Filters (Audience Tabs)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Two prominent tabs at the top of the insights listing: 'For Borrowers' and 'For Investors.' Each tab filters to the relevant track. An 'All' tab shows everything (default). This is the single most important UX decision: borrowers should never have to scroll past investor content to find what they need, and vice versa.</w:t>
      </w:r>
    </w:p>
    <w:p>
      <w:pPr>
        <w:pStyle w:val="Heading2"/>
      </w:pPr>
      <w:r>
        <w:t xml:space="preserve">Secondary Filters (Category Tags)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Within each tab, clickable category tags let users drill down: Bridge Lending 101, Deal Playbooks, Market Intelligence, etc. These map directly to the 'category' field in the database.</w:t>
      </w:r>
    </w:p>
    <w:p>
      <w:pPr>
        <w:pStyle w:val="Heading2"/>
      </w:pPr>
      <w:r>
        <w:t xml:space="preserve">Database Implementation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The 'category' column already exists on the site_insights table. We will use it to store the category slug (e.g., 'bridge-lending-101', 'investment-insights'). A new 'audience' column (values: 'borrower', 'investor', 'both') will power the primary tab filter. The existing 'tags' array continues to hold free-form tags for granular filtering and SEO.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Recommended category values for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SLUG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bridge-lending-101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 Lending 101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deal-playbooks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Deal Playbooks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market-intelligence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borrower-stories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 Stories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Borrower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investment-insights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Investment Insights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Investor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behind-the-portfolio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Behind the Portfolio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Investor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seo-opportunistic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SEO Opportunistic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Priority SEO Keywords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These are the keywords the content strategy is designed to rank for, organized by difficulty and intent. Each blog post should target 1-2 primary keywords and 3-5 secondary keywords.</w:t>
      </w:r>
    </w:p>
    <w:p>
      <w:pPr>
        <w:pStyle w:val="Heading2"/>
      </w:pPr>
      <w:r>
        <w:t xml:space="preserve">High-Priority Borrower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80"/>
        <w:gridCol w:w="1880"/>
      </w:tblGrid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 loans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 loan rates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fix and flip loans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hard money lender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commercial bridge loan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DSCR loan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construction financing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fast closing real estate loan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 loan vs hard money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real estate investor financing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High-Priority Investor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80"/>
        <w:gridCol w:w="1880"/>
      </w:tblGrid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private real estate fund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bridge lending returns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real estate debt fund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private lending investment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real estate debt vs equity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accredited investor real estate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passive real estate income</w:t>
            </w:r>
          </w:p>
        </w:tc>
        <w:tc>
          <w:tcPr>
            <w:tcW w:type="dxa" w:w="180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Automation Workflow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The content pipeline is designed to minimize your time while maintaining quality. Here is how it works end to end:</w:t>
      </w:r>
    </w:p>
    <w:p>
      <w:pPr>
        <w:pStyle w:val="Heading2"/>
      </w:pPr>
      <w:r>
        <w:t xml:space="preserve">Weekly Batch Generation (Automated)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Every Sunday evening, a scheduled task generates 7 blog posts for the upcoming week. Each post is inserted into the site_insights table with status='draft' and includes: title, slug, body (HTML), excerpt, meta_description, tags, category, audience, author, reading_time_minutes, and scheduled_publish_date.</w:t>
      </w:r>
    </w:p>
    <w:p>
      <w:pPr>
        <w:pStyle w:val="Heading2"/>
      </w:pPr>
      <w:r>
        <w:t xml:space="preserve">Review &amp; Approve (You or Grethel, ~20 min/week)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Monday morning, review the 7 drafts. For each post: approve it (set status='approved'), request revisions (leave as draft with a note), or reject it (delete). The AI generates more content than needed, so rejecting 1-2 posts per week is expected and healthy.</w:t>
      </w:r>
    </w:p>
    <w:p>
      <w:pPr>
        <w:pStyle w:val="Heading2"/>
      </w:pPr>
      <w:r>
        <w:t xml:space="preserve">Auto-Publish (Automated)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A Supabase edge function runs daily at 6:00 AM ET. It finds posts where status='approved' and scheduled_publish_date &lt;= today, then sets status='published' and is_published=true. The post goes live on the site within 5 minutes (Next.js ISR revalidation).</w:t>
      </w:r>
    </w:p>
    <w:p>
      <w:pPr>
        <w:pStyle w:val="Heading2"/>
      </w:pPr>
      <w:r>
        <w:t xml:space="preserve">Monthly Attribution Posts (Manual Trigger)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Once per month, Dylan writes (or reviews/edits) a thought leadership piece attributed to him. These are the highest-quality investor-facing posts and should feel personally authored, not AI-generated. Same for Luis on lending deep-dives. The AI can draft these, but they need a human pass.</w:t>
      </w:r>
    </w:p>
    <w:p>
      <w:pPr>
        <w:pStyle w:val="Heading1"/>
      </w:pPr>
      <w:r>
        <w:t xml:space="preserve">Content Quality Standards</w:t>
      </w: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Every post must meet these criteria before approval: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No fluff intros. First sentence delivers value or states the thesis.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No em dashes. Use commas, periods, or semicolons.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Specific numbers over vague claims. '10 business days' not 'fast closing.'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Every post ends with a clear CTA relevant to the audience track.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No first-person plural ('we believe') in Requity Group-branded posts. Use third person or direct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Investor content: institutional tone. No exclamation points, no hype.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Borrower content: direct, practical tone. Speak to experienced operators.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Meta descriptions: 150-160 characters, include primary keyword, end with action verb.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Titles: Under 60 characters for full Google display. Include primary keyword.</w:t>
      </w:r>
    </w:p>
    <w:p>
      <w:pPr>
        <w:pStyle w:val="Heading1"/>
      </w:pPr>
      <w:r>
        <w:t xml:space="preserve">Success Metrics (90-Day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shd w:fill="0C1C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Published posts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Organic sessions (insights pages)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Keywords ranked (top 100)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Keywords ranked (top 10)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Loan applications from blog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5/month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Investor inquiries from blog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2/month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Average time on page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&gt;2 min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&gt;3 min</w:t>
            </w:r>
          </w:p>
        </w:tc>
      </w:tr>
      <w:tr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Bounce rate (blog pages)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&lt;70%</w:t>
            </w:r>
          </w:p>
        </w:tc>
        <w:tc>
          <w:tcPr>
            <w:tcW w:type="dxa" w:w="3120"/>
            <w:tcBorders>
              <w:top w:val="single" w:color="E0DCD4" w:sz="1"/>
              <w:left w:val="single" w:color="E0DCD4" w:sz="1"/>
              <w:bottom w:val="single" w:color="E0DCD4" w:sz="1"/>
              <w:right w:val="single" w:color="E0DC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5C5C"/>
                <w:sz w:val="20"/>
                <w:szCs w:val="20"/>
              </w:rPr>
              <w:t xml:space="preserve">&lt;60%</w:t>
            </w:r>
          </w:p>
        </w:tc>
      </w:tr>
    </w:tbl>
    <w:p>
      <w:pPr>
        <w:spacing w:after="200"/>
      </w:pP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SEO is a compounding game. The first 30 days will show minimal organic traffic. Months 2-3 will show the first ranking signals. By month 6, the blog should be generating measurable lead flow. The key is consistency: 7 posts/week, every week, without gaps.</w:t>
      </w:r>
    </w:p>
    <w:p>
      <w:pPr>
        <w:pStyle w:val="Heading1"/>
      </w:pPr>
      <w:r>
        <w:t xml:space="preserve">Implementation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Add 'audience' column to site_insights table. </w:t>
      </w:r>
      <w:r>
        <w:rPr>
          <w:rFonts w:ascii="Arial" w:cs="Arial" w:eastAsia="Arial" w:hAnsi="Arial"/>
          <w:color w:val="5C5C5C"/>
          <w:sz w:val="22"/>
          <w:szCs w:val="22"/>
        </w:rPr>
        <w:t xml:space="preserve">Simple migration: text column with values 'borrower', 'investor', 'both'.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Build audience tab filters on /insights page. </w:t>
      </w:r>
      <w:r>
        <w:rPr>
          <w:rFonts w:ascii="Arial" w:cs="Arial" w:eastAsia="Arial" w:hAnsi="Arial"/>
          <w:color w:val="5C5C5C"/>
          <w:sz w:val="22"/>
          <w:szCs w:val="22"/>
        </w:rPr>
        <w:t xml:space="preserve">Three tabs: All, For Borrowers, For Investors. Category tag filters within each tab.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Set up the weekly scheduled content generation task. </w:t>
      </w:r>
      <w:r>
        <w:rPr>
          <w:rFonts w:ascii="Arial" w:cs="Arial" w:eastAsia="Arial" w:hAnsi="Arial"/>
          <w:color w:val="5C5C5C"/>
          <w:sz w:val="22"/>
          <w:szCs w:val="22"/>
        </w:rPr>
        <w:t xml:space="preserve">Cowork scheduled task that runs Sunday evening, generates 7 posts as drafts.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Deploy auto-publish edge function. </w:t>
      </w:r>
      <w:r>
        <w:rPr>
          <w:rFonts w:ascii="Arial" w:cs="Arial" w:eastAsia="Arial" w:hAnsi="Arial"/>
          <w:color w:val="5C5C5C"/>
          <w:sz w:val="22"/>
          <w:szCs w:val="22"/>
        </w:rPr>
        <w:t xml:space="preserve">Supabase cron that publishes approved posts on their scheduled date.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Generate first week of content and review. </w:t>
      </w:r>
      <w:r>
        <w:rPr>
          <w:rFonts w:ascii="Arial" w:cs="Arial" w:eastAsia="Arial" w:hAnsi="Arial"/>
          <w:color w:val="5C5C5C"/>
          <w:sz w:val="22"/>
          <w:szCs w:val="22"/>
        </w:rPr>
        <w:t xml:space="preserve">Run the generation task manually, review 7 posts, approve, and go live.</w:t>
      </w:r>
    </w:p>
    <w:p>
      <w:pPr>
        <w:spacing w:after="200"/>
      </w:pPr>
    </w:p>
    <w:p>
      <w:pPr>
        <w:spacing w:after="18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All technical infrastructure (database schema, detail pages, article styling) is already in place from the prior session. The remaining work is the audience filter, the scheduled task, and the auto-publish function.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C5C"/>
        <w:sz w:val="16"/>
        <w:szCs w:val="16"/>
      </w:rPr>
      <w:t xml:space="preserve">REQUITY GROUP  |  CONTENT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1C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C1C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2026-03-19T14:55:22.406Z</dcterms:created>
  <dcterms:modified xsi:type="dcterms:W3CDTF">2026-03-19T14:55:22.406Z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