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86hyod915e0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scenario, you have to determine which employee devices must be updated. You also need to investigate user login activity to explore if any unusual activity has occurred.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information you need is located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machines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login_attempts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tables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organization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database.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Here’s how you’ll do this task: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obtain information on the employee devices that must be updated.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examine the login attempts for unusual activity.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Finally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ORDER BY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keyword to sort the data returned by your SQL queries.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OK, let’s get ready to practice running your very first SQL queries!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