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B779B" w14:textId="77777777" w:rsidR="00973A1D" w:rsidRDefault="00A21F1F">
      <w:pPr>
        <w:pStyle w:val="Heading1"/>
      </w:pPr>
      <w:r>
        <w:t>Appendix B</w:t>
      </w:r>
    </w:p>
    <w:p w14:paraId="3F184170" w14:textId="77777777" w:rsidR="00973A1D" w:rsidRDefault="00A21F1F">
      <w:pPr>
        <w:pStyle w:val="Heading2"/>
      </w:pPr>
      <w:r>
        <w:t>Readme File – Dashboard</w:t>
      </w:r>
    </w:p>
    <w:p w14:paraId="20932E25" w14:textId="77777777" w:rsidR="00973A1D" w:rsidRPr="00131C23" w:rsidRDefault="00A21F1F">
      <w:pPr>
        <w:pStyle w:val="Heading3"/>
      </w:pPr>
      <w:r w:rsidRPr="00131C23">
        <w:t>Introduction:</w:t>
      </w:r>
    </w:p>
    <w:p w14:paraId="1046D98E" w14:textId="77777777" w:rsidR="00131C23" w:rsidRPr="00131C23" w:rsidRDefault="00131C23">
      <w:pPr>
        <w:pStyle w:val="Heading3"/>
        <w:rPr>
          <w:rFonts w:asciiTheme="minorHAnsi" w:hAnsiTheme="minorHAnsi" w:cs="Segoe UI"/>
          <w:b w:val="0"/>
          <w:bCs w:val="0"/>
          <w:color w:val="0F1115"/>
          <w:shd w:val="clear" w:color="auto" w:fill="FFFFFF"/>
        </w:rPr>
      </w:pPr>
      <w:r w:rsidRPr="00131C23">
        <w:rPr>
          <w:rFonts w:asciiTheme="minorHAnsi" w:hAnsiTheme="minorHAnsi" w:cs="Segoe UI"/>
          <w:b w:val="0"/>
          <w:bCs w:val="0"/>
          <w:color w:val="0F1115"/>
          <w:shd w:val="clear" w:color="auto" w:fill="FFFFFF"/>
        </w:rPr>
        <w:t>The Gold &amp; Oil Prices Analytics dashboard was developed using Power BI to explore and analyze live and historical commodity prices. The dashboard provides an interactive and visual experience that helps identify key trends, volatility, and the relationship between gold and oil prices.</w:t>
      </w:r>
    </w:p>
    <w:p w14:paraId="3841223D" w14:textId="61518ACE" w:rsidR="00973A1D" w:rsidRPr="00131C23" w:rsidRDefault="00A21F1F">
      <w:pPr>
        <w:pStyle w:val="Heading3"/>
      </w:pPr>
      <w:r w:rsidRPr="00131C23">
        <w:t>Installation:</w:t>
      </w:r>
    </w:p>
    <w:p w14:paraId="1985CBB2" w14:textId="77777777" w:rsidR="00131C23" w:rsidRPr="00131C23" w:rsidRDefault="00131C23" w:rsidP="00131C23">
      <w:pPr>
        <w:numPr>
          <w:ilvl w:val="0"/>
          <w:numId w:val="10"/>
        </w:numPr>
        <w:spacing w:after="0" w:line="240" w:lineRule="auto"/>
        <w:rPr>
          <w:rFonts w:eastAsia="Times New Roman" w:cs="Segoe UI"/>
          <w:color w:val="0F1115"/>
          <w:lang w:val="en-SA"/>
        </w:rPr>
      </w:pPr>
      <w:r w:rsidRPr="00131C23">
        <w:rPr>
          <w:rFonts w:eastAsia="Times New Roman" w:cs="Segoe UI"/>
          <w:color w:val="0F1115"/>
          <w:lang w:val="en-SA"/>
        </w:rPr>
        <w:t>Ensure that Power BI Desktop is installed on your computer. (It can be downloaded for free from the official Power BI website.)</w:t>
      </w:r>
    </w:p>
    <w:p w14:paraId="3CE43997" w14:textId="77777777" w:rsidR="00131C23" w:rsidRPr="00131C23" w:rsidRDefault="00131C23" w:rsidP="00131C23">
      <w:pPr>
        <w:numPr>
          <w:ilvl w:val="0"/>
          <w:numId w:val="10"/>
        </w:numPr>
        <w:spacing w:after="0" w:line="240" w:lineRule="auto"/>
        <w:rPr>
          <w:rFonts w:eastAsia="Times New Roman" w:cs="Segoe UI"/>
          <w:color w:val="0F1115"/>
          <w:lang w:val="en-SA"/>
        </w:rPr>
      </w:pPr>
      <w:r w:rsidRPr="00131C23">
        <w:rPr>
          <w:rFonts w:eastAsia="Times New Roman" w:cs="Segoe UI"/>
          <w:color w:val="0F1115"/>
          <w:lang w:val="en-SA"/>
        </w:rPr>
        <w:t>Download the dashboard file (.pbix) from the provided link or email.</w:t>
      </w:r>
    </w:p>
    <w:p w14:paraId="1A822C1A" w14:textId="77777777" w:rsidR="00131C23" w:rsidRPr="00131C23" w:rsidRDefault="00131C23" w:rsidP="00131C23">
      <w:pPr>
        <w:numPr>
          <w:ilvl w:val="0"/>
          <w:numId w:val="10"/>
        </w:numPr>
        <w:spacing w:after="0" w:line="240" w:lineRule="auto"/>
        <w:rPr>
          <w:rFonts w:ascii="Segoe UI" w:eastAsia="Times New Roman" w:hAnsi="Segoe UI" w:cs="Segoe UI"/>
          <w:color w:val="0F1115"/>
          <w:lang w:val="en-SA"/>
        </w:rPr>
      </w:pPr>
      <w:r w:rsidRPr="00131C23">
        <w:rPr>
          <w:rFonts w:eastAsia="Times New Roman" w:cs="Segoe UI"/>
          <w:color w:val="0F1115"/>
          <w:lang w:val="en-SA"/>
        </w:rPr>
        <w:t>Open the file using Power BI Desktop to explore and interact with the data</w:t>
      </w:r>
      <w:r w:rsidRPr="00131C23">
        <w:rPr>
          <w:rFonts w:ascii="Segoe UI" w:eastAsia="Times New Roman" w:hAnsi="Segoe UI" w:cs="Segoe UI"/>
          <w:color w:val="0F1115"/>
          <w:lang w:val="en-SA"/>
        </w:rPr>
        <w:t>.</w:t>
      </w:r>
    </w:p>
    <w:p w14:paraId="0EE2978C" w14:textId="77777777" w:rsidR="00131C23" w:rsidRPr="00131C23" w:rsidRDefault="00131C23" w:rsidP="00131C23">
      <w:pPr>
        <w:spacing w:after="0" w:line="240" w:lineRule="auto"/>
        <w:rPr>
          <w:rFonts w:ascii="Times New Roman" w:eastAsia="Times New Roman" w:hAnsi="Times New Roman" w:cs="Times New Roman"/>
          <w:lang w:val="en-SA"/>
        </w:rPr>
      </w:pPr>
    </w:p>
    <w:p w14:paraId="51B74F4E" w14:textId="77777777" w:rsidR="00973A1D" w:rsidRPr="00131C23" w:rsidRDefault="00A21F1F">
      <w:pPr>
        <w:pStyle w:val="Heading3"/>
      </w:pPr>
      <w:r w:rsidRPr="00131C23">
        <w:t>U</w:t>
      </w:r>
      <w:r w:rsidRPr="00131C23">
        <w:t>sage:</w:t>
      </w:r>
    </w:p>
    <w:p w14:paraId="507D1C5F" w14:textId="77777777" w:rsidR="00131C23" w:rsidRPr="00131C23" w:rsidRDefault="00131C23" w:rsidP="00131C23">
      <w:pPr>
        <w:spacing w:after="0" w:line="240" w:lineRule="auto"/>
        <w:rPr>
          <w:rFonts w:eastAsia="Times New Roman" w:cs="Segoe UI"/>
          <w:color w:val="0F1115"/>
          <w:lang w:val="en-SA"/>
        </w:rPr>
      </w:pPr>
      <w:r w:rsidRPr="00131C23">
        <w:rPr>
          <w:rFonts w:eastAsia="Times New Roman" w:cs="Segoe UI"/>
          <w:color w:val="0F1115"/>
          <w:lang w:val="en-SA"/>
        </w:rPr>
        <w:t>Live Data Refresh:</w:t>
      </w:r>
    </w:p>
    <w:p w14:paraId="6AB64558" w14:textId="77777777" w:rsidR="00131C23" w:rsidRPr="00131C23" w:rsidRDefault="00131C23" w:rsidP="00131C23">
      <w:pPr>
        <w:numPr>
          <w:ilvl w:val="0"/>
          <w:numId w:val="11"/>
        </w:numPr>
        <w:spacing w:after="0" w:line="240" w:lineRule="auto"/>
        <w:rPr>
          <w:rFonts w:eastAsia="Times New Roman" w:cs="Segoe UI"/>
          <w:color w:val="0F1115"/>
          <w:lang w:val="en-SA"/>
        </w:rPr>
      </w:pPr>
      <w:r w:rsidRPr="00131C23">
        <w:rPr>
          <w:rFonts w:eastAsia="Times New Roman" w:cs="Segoe UI"/>
          <w:color w:val="0F1115"/>
          <w:lang w:val="en-SA"/>
        </w:rPr>
        <w:t>This dashboard connects to live APIs from Alpha Vantage.</w:t>
      </w:r>
    </w:p>
    <w:p w14:paraId="6D8F4331" w14:textId="77777777" w:rsidR="00131C23" w:rsidRPr="00131C23" w:rsidRDefault="00131C23" w:rsidP="00131C23">
      <w:pPr>
        <w:numPr>
          <w:ilvl w:val="0"/>
          <w:numId w:val="11"/>
        </w:numPr>
        <w:spacing w:after="0" w:line="240" w:lineRule="auto"/>
        <w:rPr>
          <w:rFonts w:eastAsia="Times New Roman" w:cs="Segoe UI"/>
          <w:color w:val="0F1115"/>
          <w:lang w:val="en-SA"/>
        </w:rPr>
      </w:pPr>
      <w:r w:rsidRPr="00131C23">
        <w:rPr>
          <w:rFonts w:eastAsia="Times New Roman" w:cs="Segoe UI"/>
          <w:color w:val="0F1115"/>
          <w:lang w:val="en-SA"/>
        </w:rPr>
        <w:t>To get the latest gold and oil prices, click the "Refresh" button in the Home tab of Power BI Desktop.</w:t>
      </w:r>
    </w:p>
    <w:p w14:paraId="2C11A32A" w14:textId="77777777" w:rsidR="00131C23" w:rsidRPr="00131C23" w:rsidRDefault="00131C23" w:rsidP="00131C23">
      <w:pPr>
        <w:numPr>
          <w:ilvl w:val="0"/>
          <w:numId w:val="11"/>
        </w:numPr>
        <w:spacing w:after="0" w:line="240" w:lineRule="auto"/>
        <w:rPr>
          <w:rFonts w:eastAsia="Times New Roman" w:cs="Segoe UI"/>
          <w:color w:val="0F1115"/>
          <w:lang w:val="en-SA"/>
        </w:rPr>
      </w:pPr>
      <w:r w:rsidRPr="00131C23">
        <w:rPr>
          <w:rFonts w:eastAsia="Times New Roman" w:cs="Segoe UI"/>
          <w:color w:val="0F1115"/>
          <w:lang w:val="en-SA"/>
        </w:rPr>
        <w:t>Wait a few seconds for the data to update from the internet.</w:t>
      </w:r>
    </w:p>
    <w:p w14:paraId="3BAD5F8B" w14:textId="77777777" w:rsidR="00131C23" w:rsidRPr="00131C23" w:rsidRDefault="00131C23" w:rsidP="00131C23">
      <w:pPr>
        <w:spacing w:after="0" w:line="240" w:lineRule="auto"/>
        <w:rPr>
          <w:rFonts w:eastAsia="Times New Roman" w:cs="Segoe UI"/>
          <w:color w:val="0F1115"/>
          <w:lang w:val="en-SA"/>
        </w:rPr>
      </w:pPr>
      <w:r w:rsidRPr="00131C23">
        <w:rPr>
          <w:rFonts w:eastAsia="Times New Roman" w:cs="Segoe UI"/>
          <w:color w:val="0F1115"/>
          <w:lang w:val="en-SA"/>
        </w:rPr>
        <w:t>Filters/Slicers:</w:t>
      </w:r>
    </w:p>
    <w:p w14:paraId="053736CF" w14:textId="77777777" w:rsidR="00131C23" w:rsidRPr="00131C23" w:rsidRDefault="00131C23" w:rsidP="00131C23">
      <w:pPr>
        <w:numPr>
          <w:ilvl w:val="0"/>
          <w:numId w:val="12"/>
        </w:numPr>
        <w:spacing w:after="0" w:line="240" w:lineRule="auto"/>
        <w:rPr>
          <w:rFonts w:eastAsia="Times New Roman" w:cs="Segoe UI"/>
          <w:color w:val="0F1115"/>
          <w:lang w:val="en-SA"/>
        </w:rPr>
      </w:pPr>
      <w:r w:rsidRPr="00131C23">
        <w:rPr>
          <w:rFonts w:eastAsia="Times New Roman" w:cs="Segoe UI"/>
          <w:color w:val="0F1115"/>
          <w:lang w:val="en-SA"/>
        </w:rPr>
        <w:t>Easily filter data by Year-Month (Page 1) and Month (Page 2) to focus on specific time periods.</w:t>
      </w:r>
    </w:p>
    <w:p w14:paraId="323E5879" w14:textId="77777777" w:rsidR="00131C23" w:rsidRPr="00131C23" w:rsidRDefault="00131C23" w:rsidP="00131C23">
      <w:pPr>
        <w:spacing w:after="0" w:line="240" w:lineRule="auto"/>
        <w:rPr>
          <w:rFonts w:eastAsia="Times New Roman" w:cs="Segoe UI"/>
          <w:color w:val="0F1115"/>
          <w:lang w:val="en-SA"/>
        </w:rPr>
      </w:pPr>
      <w:r w:rsidRPr="00131C23">
        <w:rPr>
          <w:rFonts w:eastAsia="Times New Roman" w:cs="Segoe UI"/>
          <w:color w:val="0F1115"/>
          <w:lang w:val="en-SA"/>
        </w:rPr>
        <w:t>Visualizations:</w:t>
      </w:r>
    </w:p>
    <w:p w14:paraId="1CD4F96B" w14:textId="77777777" w:rsidR="00131C23" w:rsidRPr="00131C23" w:rsidRDefault="00131C23" w:rsidP="00131C23">
      <w:pPr>
        <w:spacing w:after="0" w:line="240" w:lineRule="auto"/>
        <w:rPr>
          <w:rFonts w:eastAsia="Times New Roman" w:cs="Segoe UI"/>
          <w:color w:val="0F1115"/>
          <w:lang w:val="en-SA"/>
        </w:rPr>
      </w:pPr>
      <w:r w:rsidRPr="00131C23">
        <w:rPr>
          <w:rFonts w:eastAsia="Times New Roman" w:cs="Segoe UI"/>
          <w:color w:val="0F1115"/>
          <w:lang w:val="en-SA"/>
        </w:rPr>
        <w:t>The dashboard includes multiple visual models across two pages:</w:t>
      </w:r>
    </w:p>
    <w:p w14:paraId="31714115" w14:textId="77777777" w:rsidR="00131C23" w:rsidRPr="00131C23" w:rsidRDefault="00131C23" w:rsidP="00131C23">
      <w:pPr>
        <w:spacing w:after="0" w:line="240" w:lineRule="auto"/>
        <w:rPr>
          <w:rFonts w:eastAsia="Times New Roman" w:cs="Segoe UI"/>
          <w:color w:val="0F1115"/>
          <w:lang w:val="en-SA"/>
        </w:rPr>
      </w:pPr>
      <w:r w:rsidRPr="00131C23">
        <w:rPr>
          <w:rFonts w:eastAsia="Times New Roman" w:cs="Segoe UI"/>
          <w:color w:val="0F1115"/>
          <w:lang w:val="en-SA"/>
        </w:rPr>
        <w:t>Page 1 - Overview:</w:t>
      </w:r>
    </w:p>
    <w:p w14:paraId="60DA99D8" w14:textId="77777777" w:rsidR="00131C23" w:rsidRPr="00131C23" w:rsidRDefault="00131C23" w:rsidP="00131C23">
      <w:pPr>
        <w:numPr>
          <w:ilvl w:val="0"/>
          <w:numId w:val="13"/>
        </w:numPr>
        <w:spacing w:after="0" w:line="240" w:lineRule="auto"/>
        <w:rPr>
          <w:rFonts w:eastAsia="Times New Roman" w:cs="Segoe UI"/>
          <w:color w:val="0F1115"/>
          <w:lang w:val="en-SA"/>
        </w:rPr>
      </w:pPr>
      <w:r w:rsidRPr="00131C23">
        <w:rPr>
          <w:rFonts w:eastAsia="Times New Roman" w:cs="Segoe UI"/>
          <w:color w:val="0F1115"/>
          <w:lang w:val="en-SA"/>
        </w:rPr>
        <w:t>KPI Cards: Latest, Max, and Min prices for gold and oil.</w:t>
      </w:r>
    </w:p>
    <w:p w14:paraId="3D4CDDCB" w14:textId="77777777" w:rsidR="00131C23" w:rsidRPr="00131C23" w:rsidRDefault="00131C23" w:rsidP="00131C23">
      <w:pPr>
        <w:numPr>
          <w:ilvl w:val="0"/>
          <w:numId w:val="13"/>
        </w:numPr>
        <w:spacing w:after="0" w:line="240" w:lineRule="auto"/>
        <w:rPr>
          <w:rFonts w:eastAsia="Times New Roman" w:cs="Segoe UI"/>
          <w:color w:val="0F1115"/>
          <w:lang w:val="en-SA"/>
        </w:rPr>
      </w:pPr>
      <w:r w:rsidRPr="00131C23">
        <w:rPr>
          <w:rFonts w:eastAsia="Times New Roman" w:cs="Segoe UI"/>
          <w:color w:val="0F1115"/>
          <w:lang w:val="en-SA"/>
        </w:rPr>
        <w:t>Gauge Chart: Gold price volatility indicator.</w:t>
      </w:r>
    </w:p>
    <w:p w14:paraId="48E584EB" w14:textId="77777777" w:rsidR="00131C23" w:rsidRPr="00131C23" w:rsidRDefault="00131C23" w:rsidP="00131C23">
      <w:pPr>
        <w:numPr>
          <w:ilvl w:val="0"/>
          <w:numId w:val="13"/>
        </w:numPr>
        <w:spacing w:after="0" w:line="240" w:lineRule="auto"/>
        <w:rPr>
          <w:rFonts w:eastAsia="Times New Roman" w:cs="Segoe UI"/>
          <w:color w:val="0F1115"/>
          <w:lang w:val="en-SA"/>
        </w:rPr>
      </w:pPr>
      <w:r w:rsidRPr="00131C23">
        <w:rPr>
          <w:rFonts w:eastAsia="Times New Roman" w:cs="Segoe UI"/>
          <w:color w:val="0F1115"/>
          <w:lang w:val="en-SA"/>
        </w:rPr>
        <w:t>Column Charts: Monthly trends for gold and oil prices.</w:t>
      </w:r>
    </w:p>
    <w:p w14:paraId="282912D9" w14:textId="77777777" w:rsidR="00131C23" w:rsidRPr="00131C23" w:rsidRDefault="00131C23" w:rsidP="00131C23">
      <w:pPr>
        <w:spacing w:after="0" w:line="240" w:lineRule="auto"/>
        <w:rPr>
          <w:rFonts w:eastAsia="Times New Roman" w:cs="Segoe UI"/>
          <w:color w:val="0F1115"/>
          <w:lang w:val="en-SA"/>
        </w:rPr>
      </w:pPr>
      <w:r w:rsidRPr="00131C23">
        <w:rPr>
          <w:rFonts w:eastAsia="Times New Roman" w:cs="Segoe UI"/>
          <w:color w:val="0F1115"/>
          <w:lang w:val="en-SA"/>
        </w:rPr>
        <w:t>Page 2 - Detailed Analysis:</w:t>
      </w:r>
    </w:p>
    <w:p w14:paraId="4AC4E2C0" w14:textId="77777777" w:rsidR="00131C23" w:rsidRPr="00131C23" w:rsidRDefault="00131C23" w:rsidP="00131C23">
      <w:pPr>
        <w:numPr>
          <w:ilvl w:val="0"/>
          <w:numId w:val="14"/>
        </w:numPr>
        <w:spacing w:after="0" w:line="240" w:lineRule="auto"/>
        <w:rPr>
          <w:rFonts w:eastAsia="Times New Roman" w:cs="Segoe UI"/>
          <w:color w:val="0F1115"/>
          <w:lang w:val="en-SA"/>
        </w:rPr>
      </w:pPr>
      <w:r w:rsidRPr="00131C23">
        <w:rPr>
          <w:rFonts w:eastAsia="Times New Roman" w:cs="Segoe UI"/>
          <w:color w:val="0F1115"/>
          <w:lang w:val="en-SA"/>
        </w:rPr>
        <w:t>Clustered Column Chart: Annual gold price trends.</w:t>
      </w:r>
    </w:p>
    <w:p w14:paraId="7E3BCA5F" w14:textId="77777777" w:rsidR="00131C23" w:rsidRPr="00131C23" w:rsidRDefault="00131C23" w:rsidP="00131C23">
      <w:pPr>
        <w:numPr>
          <w:ilvl w:val="0"/>
          <w:numId w:val="14"/>
        </w:numPr>
        <w:spacing w:after="0" w:line="240" w:lineRule="auto"/>
        <w:rPr>
          <w:rFonts w:eastAsia="Times New Roman" w:cs="Segoe UI"/>
          <w:color w:val="0F1115"/>
          <w:lang w:val="en-SA"/>
        </w:rPr>
      </w:pPr>
      <w:r w:rsidRPr="00131C23">
        <w:rPr>
          <w:rFonts w:eastAsia="Times New Roman" w:cs="Segoe UI"/>
          <w:color w:val="0F1115"/>
          <w:lang w:val="en-SA"/>
        </w:rPr>
        <w:t>Stacked Area Chart: Year-over-year gold price growth rate.</w:t>
      </w:r>
    </w:p>
    <w:p w14:paraId="56CF8A8F" w14:textId="77777777" w:rsidR="00131C23" w:rsidRPr="00131C23" w:rsidRDefault="00131C23" w:rsidP="00131C23">
      <w:pPr>
        <w:numPr>
          <w:ilvl w:val="0"/>
          <w:numId w:val="14"/>
        </w:numPr>
        <w:spacing w:after="0" w:line="240" w:lineRule="auto"/>
        <w:rPr>
          <w:rFonts w:eastAsia="Times New Roman" w:cs="Segoe UI"/>
          <w:color w:val="0F1115"/>
          <w:lang w:val="en-SA"/>
        </w:rPr>
      </w:pPr>
      <w:r w:rsidRPr="00131C23">
        <w:rPr>
          <w:rFonts w:eastAsia="Times New Roman" w:cs="Segoe UI"/>
          <w:color w:val="0F1115"/>
          <w:lang w:val="en-SA"/>
        </w:rPr>
        <w:t>Donut Chart: Average gold-oil ratio by year.</w:t>
      </w:r>
    </w:p>
    <w:p w14:paraId="730366F0" w14:textId="77777777" w:rsidR="00131C23" w:rsidRPr="00131C23" w:rsidRDefault="00131C23" w:rsidP="00131C23">
      <w:pPr>
        <w:numPr>
          <w:ilvl w:val="0"/>
          <w:numId w:val="14"/>
        </w:numPr>
        <w:spacing w:after="0" w:line="240" w:lineRule="auto"/>
        <w:rPr>
          <w:rFonts w:eastAsia="Times New Roman" w:cs="Segoe UI"/>
          <w:color w:val="0F1115"/>
          <w:lang w:val="en-SA"/>
        </w:rPr>
      </w:pPr>
      <w:r w:rsidRPr="00131C23">
        <w:rPr>
          <w:rFonts w:eastAsia="Times New Roman" w:cs="Segoe UI"/>
          <w:color w:val="0F1115"/>
          <w:lang w:val="en-SA"/>
        </w:rPr>
        <w:t>Line Chart: Correlation between gold and oil prices.</w:t>
      </w:r>
    </w:p>
    <w:p w14:paraId="649100F8" w14:textId="77777777" w:rsidR="00131C23" w:rsidRPr="00131C23" w:rsidRDefault="00131C23" w:rsidP="00131C23">
      <w:pPr>
        <w:spacing w:after="0" w:line="240" w:lineRule="auto"/>
        <w:rPr>
          <w:rFonts w:eastAsia="Times New Roman" w:cs="Segoe UI"/>
          <w:color w:val="0F1115"/>
          <w:lang w:val="en-SA"/>
        </w:rPr>
      </w:pPr>
      <w:r w:rsidRPr="00131C23">
        <w:rPr>
          <w:rFonts w:eastAsia="Times New Roman" w:cs="Segoe UI"/>
          <w:color w:val="0F1115"/>
          <w:lang w:val="en-SA"/>
        </w:rPr>
        <w:t>Interactivity:</w:t>
      </w:r>
    </w:p>
    <w:p w14:paraId="29DF06A2" w14:textId="77777777" w:rsidR="00131C23" w:rsidRPr="00131C23" w:rsidRDefault="00131C23" w:rsidP="00131C23">
      <w:pPr>
        <w:numPr>
          <w:ilvl w:val="0"/>
          <w:numId w:val="15"/>
        </w:numPr>
        <w:spacing w:after="0" w:line="240" w:lineRule="auto"/>
        <w:rPr>
          <w:rFonts w:eastAsia="Times New Roman" w:cs="Segoe UI"/>
          <w:color w:val="0F1115"/>
          <w:lang w:val="en-SA"/>
        </w:rPr>
      </w:pPr>
      <w:r w:rsidRPr="00131C23">
        <w:rPr>
          <w:rFonts w:eastAsia="Times New Roman" w:cs="Segoe UI"/>
          <w:color w:val="0F1115"/>
          <w:lang w:val="en-SA"/>
        </w:rPr>
        <w:t>All visuals are dynamic and interconnected. Selecting elements in one chart will automatically filter the other visuals for deeper insights.</w:t>
      </w:r>
    </w:p>
    <w:p w14:paraId="6C0E34D7" w14:textId="77777777" w:rsidR="00131C23" w:rsidRPr="00131C23" w:rsidRDefault="00131C23" w:rsidP="00131C23">
      <w:pPr>
        <w:numPr>
          <w:ilvl w:val="0"/>
          <w:numId w:val="15"/>
        </w:numPr>
        <w:spacing w:after="0" w:line="240" w:lineRule="auto"/>
        <w:rPr>
          <w:rFonts w:eastAsia="Times New Roman" w:cs="Segoe UI"/>
          <w:color w:val="0F1115"/>
          <w:lang w:val="en-SA"/>
        </w:rPr>
      </w:pPr>
      <w:r w:rsidRPr="00131C23">
        <w:rPr>
          <w:rFonts w:eastAsia="Times New Roman" w:cs="Segoe UI"/>
          <w:color w:val="0F1115"/>
          <w:lang w:val="en-SA"/>
        </w:rPr>
        <w:t>Hover over any chart to see detailed tooltips with exact values.</w:t>
      </w:r>
    </w:p>
    <w:p w14:paraId="780DFA96" w14:textId="77777777" w:rsidR="00131C23" w:rsidRPr="00131C23" w:rsidRDefault="00131C23" w:rsidP="00131C23">
      <w:pPr>
        <w:spacing w:after="0" w:line="240" w:lineRule="auto"/>
        <w:rPr>
          <w:rFonts w:eastAsia="Times New Roman" w:cs="Times New Roman"/>
          <w:lang w:val="en-SA"/>
        </w:rPr>
      </w:pPr>
    </w:p>
    <w:p w14:paraId="0826C899" w14:textId="77777777" w:rsidR="00973A1D" w:rsidRPr="00131C23" w:rsidRDefault="00A21F1F">
      <w:pPr>
        <w:pStyle w:val="Heading3"/>
      </w:pPr>
      <w:r w:rsidRPr="00131C23">
        <w:lastRenderedPageBreak/>
        <w:t>T</w:t>
      </w:r>
      <w:r w:rsidRPr="00131C23">
        <w:t>roubleshooting:</w:t>
      </w:r>
    </w:p>
    <w:p w14:paraId="178CA33B" w14:textId="77777777" w:rsidR="00131C23" w:rsidRPr="00131C23" w:rsidRDefault="00131C23" w:rsidP="00131C23">
      <w:pPr>
        <w:spacing w:before="240" w:after="240" w:line="240" w:lineRule="auto"/>
        <w:rPr>
          <w:rFonts w:eastAsia="Times New Roman" w:cs="Segoe UI"/>
          <w:color w:val="0F1115"/>
          <w:lang w:val="en-SA"/>
        </w:rPr>
      </w:pPr>
      <w:r w:rsidRPr="00131C23">
        <w:rPr>
          <w:rFonts w:eastAsia="Times New Roman" w:cs="Segoe UI"/>
          <w:color w:val="0F1115"/>
          <w:lang w:val="en-SA"/>
        </w:rPr>
        <w:t>Missing Visuals:</w:t>
      </w:r>
      <w:r w:rsidRPr="00131C23">
        <w:rPr>
          <w:rFonts w:eastAsia="Times New Roman" w:cs="Segoe UI"/>
          <w:color w:val="0F1115"/>
          <w:lang w:val="en-SA"/>
        </w:rPr>
        <w:br/>
        <w:t>Ensure all data fields are correctly loaded. If issues persist, refresh the data source inside Power BI Desktop.</w:t>
      </w:r>
    </w:p>
    <w:p w14:paraId="095EC0B7" w14:textId="77777777" w:rsidR="00131C23" w:rsidRPr="00131C23" w:rsidRDefault="00131C23" w:rsidP="00131C23">
      <w:pPr>
        <w:spacing w:before="240" w:after="240" w:line="240" w:lineRule="auto"/>
        <w:rPr>
          <w:rFonts w:eastAsia="Times New Roman" w:cs="Segoe UI"/>
          <w:color w:val="0F1115"/>
          <w:lang w:val="en-SA"/>
        </w:rPr>
      </w:pPr>
      <w:r w:rsidRPr="00131C23">
        <w:rPr>
          <w:rFonts w:eastAsia="Times New Roman" w:cs="Segoe UI"/>
          <w:color w:val="0F1115"/>
          <w:lang w:val="en-SA"/>
        </w:rPr>
        <w:t>API Data Not Updating:</w:t>
      </w:r>
    </w:p>
    <w:p w14:paraId="1313DB63" w14:textId="77777777" w:rsidR="00131C23" w:rsidRPr="00131C23" w:rsidRDefault="00131C23" w:rsidP="00131C23">
      <w:pPr>
        <w:numPr>
          <w:ilvl w:val="0"/>
          <w:numId w:val="16"/>
        </w:numPr>
        <w:spacing w:after="0" w:line="240" w:lineRule="auto"/>
        <w:rPr>
          <w:rFonts w:eastAsia="Times New Roman" w:cs="Segoe UI"/>
          <w:color w:val="0F1115"/>
          <w:lang w:val="en-SA"/>
        </w:rPr>
      </w:pPr>
      <w:r w:rsidRPr="00131C23">
        <w:rPr>
          <w:rFonts w:eastAsia="Times New Roman" w:cs="Segoe UI"/>
          <w:color w:val="0F1115"/>
          <w:lang w:val="en-SA"/>
        </w:rPr>
        <w:t>Check your internet connection.</w:t>
      </w:r>
    </w:p>
    <w:p w14:paraId="7BD43390" w14:textId="77777777" w:rsidR="00131C23" w:rsidRPr="00131C23" w:rsidRDefault="00131C23" w:rsidP="00131C23">
      <w:pPr>
        <w:numPr>
          <w:ilvl w:val="0"/>
          <w:numId w:val="16"/>
        </w:numPr>
        <w:spacing w:after="0" w:line="240" w:lineRule="auto"/>
        <w:rPr>
          <w:rFonts w:eastAsia="Times New Roman" w:cs="Segoe UI"/>
          <w:color w:val="0F1115"/>
          <w:lang w:val="en-SA"/>
        </w:rPr>
      </w:pPr>
      <w:r w:rsidRPr="00131C23">
        <w:rPr>
          <w:rFonts w:eastAsia="Times New Roman" w:cs="Segoe UI"/>
          <w:color w:val="0F1115"/>
          <w:lang w:val="en-SA"/>
        </w:rPr>
        <w:t>Alpha Vantage APIs have daily request limits. If you exceed the limit, wait 24 hours or use a different API key.</w:t>
      </w:r>
    </w:p>
    <w:p w14:paraId="16CB09E9" w14:textId="77777777" w:rsidR="00131C23" w:rsidRPr="00131C23" w:rsidRDefault="00131C23" w:rsidP="00131C23">
      <w:pPr>
        <w:numPr>
          <w:ilvl w:val="0"/>
          <w:numId w:val="16"/>
        </w:numPr>
        <w:spacing w:after="0" w:line="240" w:lineRule="auto"/>
        <w:rPr>
          <w:rFonts w:eastAsia="Times New Roman" w:cs="Segoe UI"/>
          <w:color w:val="0F1115"/>
          <w:lang w:val="en-SA"/>
        </w:rPr>
      </w:pPr>
      <w:r w:rsidRPr="00131C23">
        <w:rPr>
          <w:rFonts w:eastAsia="Times New Roman" w:cs="Segoe UI"/>
          <w:color w:val="0F1115"/>
          <w:lang w:val="en-SA"/>
        </w:rPr>
        <w:t>Go to File &gt; Options and Settings &gt; Data Source Settings &gt; Clear Permissions, then try refreshing again.</w:t>
      </w:r>
    </w:p>
    <w:p w14:paraId="0647E705" w14:textId="77777777" w:rsidR="00131C23" w:rsidRPr="00131C23" w:rsidRDefault="00131C23" w:rsidP="00131C23">
      <w:pPr>
        <w:spacing w:before="240" w:after="240" w:line="240" w:lineRule="auto"/>
        <w:rPr>
          <w:rFonts w:eastAsia="Times New Roman" w:cs="Segoe UI"/>
          <w:color w:val="0F1115"/>
          <w:lang w:val="en-SA"/>
        </w:rPr>
      </w:pPr>
      <w:r w:rsidRPr="00131C23">
        <w:rPr>
          <w:rFonts w:eastAsia="Times New Roman" w:cs="Segoe UI"/>
          <w:color w:val="0F1115"/>
          <w:lang w:val="en-SA"/>
        </w:rPr>
        <w:t>Performance Issues:</w:t>
      </w:r>
      <w:r w:rsidRPr="00131C23">
        <w:rPr>
          <w:rFonts w:eastAsia="Times New Roman" w:cs="Segoe UI"/>
          <w:color w:val="0F1115"/>
          <w:lang w:val="en-SA"/>
        </w:rPr>
        <w:br/>
        <w:t>If the dashboard feels slow, ensure your device meets the recommended Power BI Desktop system requirements.</w:t>
      </w:r>
    </w:p>
    <w:p w14:paraId="0F766736" w14:textId="77777777" w:rsidR="00131C23" w:rsidRPr="00131C23" w:rsidRDefault="00131C23" w:rsidP="00131C23">
      <w:pPr>
        <w:spacing w:before="240" w:after="240" w:line="240" w:lineRule="auto"/>
        <w:rPr>
          <w:rFonts w:eastAsia="Times New Roman" w:cs="Segoe UI"/>
          <w:color w:val="0F1115"/>
          <w:lang w:val="en-SA"/>
        </w:rPr>
      </w:pPr>
      <w:r w:rsidRPr="00131C23">
        <w:rPr>
          <w:rFonts w:eastAsia="Times New Roman" w:cs="Segoe UI"/>
          <w:color w:val="0F1115"/>
          <w:lang w:val="en-SA"/>
        </w:rPr>
        <w:t>Data Refresh:</w:t>
      </w:r>
      <w:r w:rsidRPr="00131C23">
        <w:rPr>
          <w:rFonts w:eastAsia="Times New Roman" w:cs="Segoe UI"/>
          <w:color w:val="0F1115"/>
          <w:lang w:val="en-SA"/>
        </w:rPr>
        <w:br/>
        <w:t>This dashboard uses live data. Each refresh fetches the latest prices from the Alpha Vantage API.</w:t>
      </w:r>
    </w:p>
    <w:p w14:paraId="4C624587" w14:textId="77777777" w:rsidR="00131C23" w:rsidRPr="00131C23" w:rsidRDefault="00131C23" w:rsidP="00131C23">
      <w:pPr>
        <w:spacing w:before="240" w:after="240" w:line="240" w:lineRule="auto"/>
        <w:rPr>
          <w:rFonts w:eastAsia="Times New Roman" w:cs="Segoe UI"/>
          <w:color w:val="0F1115"/>
          <w:lang w:val="en-SA"/>
        </w:rPr>
      </w:pPr>
      <w:r w:rsidRPr="00131C23">
        <w:rPr>
          <w:rFonts w:eastAsia="Times New Roman" w:cs="Segoe UI"/>
          <w:color w:val="0F1115"/>
          <w:lang w:val="en-SA"/>
        </w:rPr>
        <w:t>Support:</w:t>
      </w:r>
      <w:r w:rsidRPr="00131C23">
        <w:rPr>
          <w:rFonts w:eastAsia="Times New Roman" w:cs="Segoe UI"/>
          <w:color w:val="0F1115"/>
          <w:lang w:val="en-SA"/>
        </w:rPr>
        <w:br/>
        <w:t>For any issues or questions, please contact the project team.</w:t>
      </w:r>
    </w:p>
    <w:p w14:paraId="71122DBF" w14:textId="77777777" w:rsidR="00131C23" w:rsidRPr="00131C23" w:rsidRDefault="00131C23" w:rsidP="00131C23">
      <w:pPr>
        <w:spacing w:after="0" w:line="240" w:lineRule="auto"/>
        <w:rPr>
          <w:rFonts w:eastAsia="Times New Roman" w:cs="Times New Roman"/>
          <w:lang w:val="en-SA"/>
        </w:rPr>
      </w:pPr>
    </w:p>
    <w:p w14:paraId="02C84792" w14:textId="77777777" w:rsidR="00131C23" w:rsidRPr="00131C23" w:rsidRDefault="00131C23" w:rsidP="00131C23">
      <w:pPr>
        <w:spacing w:after="0" w:line="240" w:lineRule="auto"/>
        <w:rPr>
          <w:rFonts w:ascii="Times New Roman" w:eastAsia="Times New Roman" w:hAnsi="Times New Roman" w:cs="Times New Roman"/>
          <w:lang w:val="en-SA"/>
        </w:rPr>
      </w:pPr>
    </w:p>
    <w:p w14:paraId="02FE6ABC" w14:textId="77777777" w:rsidR="00973A1D" w:rsidRPr="00131C23" w:rsidRDefault="00A21F1F">
      <w:pPr>
        <w:pStyle w:val="Heading3"/>
      </w:pPr>
      <w:r w:rsidRPr="00131C23">
        <w:t>C</w:t>
      </w:r>
      <w:r w:rsidRPr="00131C23">
        <w:t>onclusion:</w:t>
      </w:r>
    </w:p>
    <w:p w14:paraId="75516F7B" w14:textId="128227D4" w:rsidR="00973A1D" w:rsidRPr="00131C23" w:rsidRDefault="00131C23" w:rsidP="00131C23">
      <w:r w:rsidRPr="00131C23">
        <w:rPr>
          <w:rFonts w:cs="Segoe UI"/>
          <w:color w:val="0F1115"/>
          <w:shd w:val="clear" w:color="auto" w:fill="FFFFFF"/>
        </w:rPr>
        <w:t>The Gold &amp; Oil Prices Analytics dashboard is designed to empower investors, analysts, and policymakers to better understand commodity market dynamics. Through intuitive visuals and easy-to-use filters, users can quickly identify price trends, volatility patterns, and the relationship between two of the world's most strategic commodities. Feedback and suggestions for improving the dashboard are always welcome.</w:t>
      </w:r>
    </w:p>
    <w:sectPr w:rsidR="00973A1D" w:rsidRPr="00131C2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25E78"/>
    <w:multiLevelType w:val="multilevel"/>
    <w:tmpl w:val="CCC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BA0B4D"/>
    <w:multiLevelType w:val="multilevel"/>
    <w:tmpl w:val="8112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C40A3D"/>
    <w:multiLevelType w:val="multilevel"/>
    <w:tmpl w:val="DF5EC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CE0540"/>
    <w:multiLevelType w:val="multilevel"/>
    <w:tmpl w:val="352C2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25045B"/>
    <w:multiLevelType w:val="multilevel"/>
    <w:tmpl w:val="6C38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60593A"/>
    <w:multiLevelType w:val="multilevel"/>
    <w:tmpl w:val="B37C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CBA3186"/>
    <w:multiLevelType w:val="multilevel"/>
    <w:tmpl w:val="5062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46207442">
    <w:abstractNumId w:val="8"/>
  </w:num>
  <w:num w:numId="2" w16cid:durableId="816339397">
    <w:abstractNumId w:val="6"/>
  </w:num>
  <w:num w:numId="3" w16cid:durableId="1287546620">
    <w:abstractNumId w:val="5"/>
  </w:num>
  <w:num w:numId="4" w16cid:durableId="164786465">
    <w:abstractNumId w:val="4"/>
  </w:num>
  <w:num w:numId="5" w16cid:durableId="1065254361">
    <w:abstractNumId w:val="7"/>
  </w:num>
  <w:num w:numId="6" w16cid:durableId="290481576">
    <w:abstractNumId w:val="3"/>
  </w:num>
  <w:num w:numId="7" w16cid:durableId="2103836755">
    <w:abstractNumId w:val="2"/>
  </w:num>
  <w:num w:numId="8" w16cid:durableId="1795445521">
    <w:abstractNumId w:val="1"/>
  </w:num>
  <w:num w:numId="9" w16cid:durableId="461313228">
    <w:abstractNumId w:val="0"/>
  </w:num>
  <w:num w:numId="10" w16cid:durableId="1296137230">
    <w:abstractNumId w:val="13"/>
  </w:num>
  <w:num w:numId="11" w16cid:durableId="665861700">
    <w:abstractNumId w:val="14"/>
  </w:num>
  <w:num w:numId="12" w16cid:durableId="1786541360">
    <w:abstractNumId w:val="15"/>
  </w:num>
  <w:num w:numId="13" w16cid:durableId="1275019169">
    <w:abstractNumId w:val="10"/>
  </w:num>
  <w:num w:numId="14" w16cid:durableId="1437485811">
    <w:abstractNumId w:val="12"/>
  </w:num>
  <w:num w:numId="15" w16cid:durableId="1261834462">
    <w:abstractNumId w:val="9"/>
  </w:num>
  <w:num w:numId="16" w16cid:durableId="3177299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1C23"/>
    <w:rsid w:val="0015074B"/>
    <w:rsid w:val="0029639D"/>
    <w:rsid w:val="00326F90"/>
    <w:rsid w:val="00816071"/>
    <w:rsid w:val="00973A1D"/>
    <w:rsid w:val="00A21F1F"/>
    <w:rsid w:val="00AA1D8D"/>
    <w:rsid w:val="00AC29BA"/>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D46BC4E"/>
  <w14:defaultImageDpi w14:val="300"/>
  <w15:docId w15:val="{063B1C51-8869-F049-B91D-6A37E3A6C7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s-markdown-paragraph">
    <w:name w:val="ds-markdown-paragraph"/>
    <w:basedOn w:val="Normal"/>
    <w:rsid w:val="00131C23"/>
    <w:pPr>
      <w:spacing w:before="100" w:beforeAutospacing="1" w:after="100" w:afterAutospacing="1" w:line="240" w:lineRule="auto"/>
    </w:pPr>
    <w:rPr>
      <w:rFonts w:ascii="Times New Roman" w:eastAsia="Times New Roman" w:hAnsi="Times New Roman" w:cs="Times New Roman"/>
      <w:sz w:val="24"/>
      <w:szCs w:val="24"/>
      <w:lang w:val="en-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426</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رسال نايف عبدالله السنتلي</cp:lastModifiedBy>
  <cp:revision>2</cp:revision>
  <dcterms:created xsi:type="dcterms:W3CDTF">2026-05-16T22:18:00Z</dcterms:created>
  <dcterms:modified xsi:type="dcterms:W3CDTF">2026-05-16T22:18:00Z</dcterms:modified>
  <cp:category/>
</cp:coreProperties>
</file>