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Programas de asistencia al código desarrollados por Harvard a través de CS50.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Help50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es un programa propio de cs50 instalado inicialmente en el entorno de trabajo de cs50 IDE que tiene la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función de señalarnos posibles errores del tipo de "corrección" en nuestro código; es decir, nos ayuda a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encontrar los errores propios al funcionamiento correcto de nuestro código, sólo le importa que el código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funcione y sea ejecutable más allá de su eficiencia o de su estética (no evalúa diseño ni estilo). Se ejecuta a la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hora de compilar con el comando "make" nuestro archivo originario.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>Style50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 tiene también los mismos orígenes en su creación que Help50, sin embargo, Style50 como programa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tiene la función de señalarnos posibles errores del tipo de "estilo" o que afectan a la legibilidad visual: evalúa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lo que se conoce como "las buenas prácticas", la estática del código, que esté bien escrito y "bonito" más allá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de que simplemente funcione (no evalúa correción ni diseño). Se ejecuta sobre el archivo originario (código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fuente, .c)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>Check50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, al igual que Help50, es originado por cs50. Check50 tiene la función de señalarnos, en términos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generales, si su archivo originario existe, si puede compilarse y ejecutarse, y si lleva a cabalidad bien unos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requerimientos exigidos según el problema o proyecto planteado por Harvard en cuestión. Es nuestro checker.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Evalúa corrección, diseño y estilo. Todo en su conjunto.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Hay otra herramienta, </w:t>
      </w: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>debug50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, para ayudarnos a depurar programas. Esta es una herramienta escrita por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personal que se basa en una herramienta estándar llamada </w:t>
      </w: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>gdb.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 Ambos depuradores son programas que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ejecutarán nuestros propios programas paso a paso y nos permitirán ver variables y otra información mientras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nuestro programa se está ejecutando. Los </w:t>
      </w: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>Bugs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 son errores o problemas en los programas que hacen que se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comporten de manera diferente a lo previsto. Y la </w:t>
      </w: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>depuración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 es el proceso de encontrar y corregir esos errores.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Los depuradores se asisten de algo llamado: </w:t>
      </w: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punto de interrupción,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 línea de código especifica donde queremos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que se detenga el depurador porque creemos que debiera detenerse ahí y analizar la línea de código en cuestión.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Para tener en cuenta: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 los posibles errores del tipo "diseño", ya que no los mencionamos, evaluan qué tan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eficiente es nuestro código y qué tan sofisticado es en su estructuración; es decir, ¿podría su código ser más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"resumido" sin dejar de mostrar por pantalla la misma salida deseable o su código está repitiendo códigos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>innecesariamente?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Idealmente cada programa debe ser ejecutado en cada proyecto en cuestión antes de ser cargado; pues, todo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proyecto pasará por un proceso de evaluación y auditoria. Dicho esto, ejecutarlos daría paso a una especie de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retroalimentación para saber si nuestro trabajo está estrictamente bien hecho o no antes de ser subido.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Libreria y funciones Harvard: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La libreria de Harvard es: </w:t>
      </w: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>cs50.h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, la cual se compone por las siguientes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funciones correspondientes a obtener entradas de varios tipos de datos: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get_char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(solicita por tecla un caracter al usuario), inicialización de variable: </w:t>
      </w: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char var = ...;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get_float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(solicita por tecla un número con decimales al usuario), inicialización de variable: </w:t>
      </w: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float var = ...;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get_double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(solicita por tecla un número con decimales de mayor peso en bits al usuario), “”: </w:t>
      </w: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double var = ...;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get_int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(solicita por tecla un número entero al usuario), inicialización de variable: </w:t>
      </w: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int var = ...;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get_long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(solicita por tecla un número entero de mayor peso en bits al usuario), “”: </w:t>
      </w: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long var = ...;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get_string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(solicita por tecla una cadena de texto al usuario), inicialización de variable: </w:t>
      </w: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string var = ...;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Para </w:t>
      </w: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>printf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, también, hay diferentes marcadores de posición para cada tipo: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%c para caracteres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%f para números con decimales (float/double)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%i para enteros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%li para enteros mucho más grandes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%s para cadenas de texto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0"/>
          <w:b w:val="0"/>
          <w:color w:val="000000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000000"/>
          <w:sz w:val="18"/>
          <w:szCs w:val="18"/>
          <w:rFonts w:ascii="Times New Roman" w:eastAsia="Times New Roman" w:hAnsi="Times New Roman" w:hint="default"/>
        </w:rPr>
        <w:t xml:space="preserve">la palabra “</w:t>
      </w:r>
      <w:r>
        <w:rPr>
          <w:i w:val="1"/>
          <w:b w:val="1"/>
          <w:color w:val="000000"/>
          <w:sz w:val="18"/>
          <w:szCs w:val="18"/>
          <w:rFonts w:ascii="Times New Roman" w:eastAsia="Times New Roman" w:hAnsi="Times New Roman" w:hint="default"/>
        </w:rPr>
        <w:t>var</w:t>
      </w:r>
      <w:r>
        <w:rPr>
          <w:i w:val="0"/>
          <w:b w:val="0"/>
          <w:color w:val="000000"/>
          <w:sz w:val="18"/>
          <w:szCs w:val="18"/>
          <w:rFonts w:ascii="Times New Roman" w:eastAsia="Times New Roman" w:hAnsi="Times New Roman" w:hint="default"/>
        </w:rPr>
        <w:t xml:space="preserve">” se refiere al nombre asignado para cada variable inicializada en cada tipo de dato.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No se olvide incluir la libreria de estas funciones, su código fuente debe comenzar así: </w:t>
      </w: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#include &lt;cs50.h&gt;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 New Roman" w:eastAsia="Times New Roman" w:hAnsi="Times New Roman" w:hint="default"/>
        </w:rPr>
        <w:t xml:space="preserve">Un ejemplo de cómo funciona la sintaxis de estas nuevas funciones agregadas a nuestro entorno de trabajo: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0"/>
          <w:b w:val="0"/>
          <w:color w:val="000000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88900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579/fImage3474813389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889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000000"/>
          <w:sz w:val="18"/>
          <w:szCs w:val="18"/>
          <w:rFonts w:ascii="Times New Roman" w:eastAsia="Times New Roman" w:hAnsi="Times New Roman" w:hint="default"/>
        </w:rPr>
        <w:t xml:space="preserve">código fuente (archivo originario de tipo “.c”): el que requiere ser compilado a código maquina.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000000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0"/>
          <w:b w:val="0"/>
          <w:color w:val="000000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70548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579/fImage319391426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706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000000"/>
          <w:sz w:val="18"/>
          <w:szCs w:val="18"/>
          <w:rFonts w:ascii="Times New Roman" w:eastAsia="Times New Roman" w:hAnsi="Times New Roman" w:hint="default"/>
        </w:rPr>
        <w:t xml:space="preserve">código maquina (archivo ejecutable): proceso de compilación llevado a cabo y posterior ejecución del archivo.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El anterior ejemplo fue realizado con una cadena de caracteres (string), ahora veremos otro ejemplo pero con </w:t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t xml:space="preserve">la suma entre dos números enteros (int): 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0"/>
          <w:b w:val="0"/>
          <w:color w:val="000000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119634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579/fImage727331548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196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0"/>
          <w:b w:val="0"/>
          <w:color w:val="000000"/>
          <w:sz w:val="18"/>
          <w:szCs w:val="18"/>
          <w:rFonts w:ascii="Times New Roman" w:eastAsia="Times New Roman" w:hAnsi="Times New Roman" w:hint="default"/>
        </w:rPr>
        <w:t xml:space="preserve">código fuente (archivo originario de tipo “.c”): el que requiere ser compilado a código maquina.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0"/>
          <w:b w:val="0"/>
          <w:color w:val="000000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51498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579/fImage335101620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515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000000"/>
          <w:sz w:val="18"/>
          <w:szCs w:val="18"/>
          <w:rFonts w:ascii="Times New Roman" w:eastAsia="Times New Roman" w:hAnsi="Times New Roman" w:hint="default"/>
        </w:rPr>
        <w:br/>
      </w:r>
      <w:r>
        <w:rPr>
          <w:i w:val="0"/>
          <w:b w:val="0"/>
          <w:color w:val="000000"/>
          <w:sz w:val="18"/>
          <w:szCs w:val="18"/>
          <w:rFonts w:ascii="Times New Roman" w:eastAsia="Times New Roman" w:hAnsi="Times New Roman" w:hint="default"/>
        </w:rPr>
        <w:t xml:space="preserve">código maquina (archivo ejecutable): proceso de compilación llevado a cabo y posterior ejecución del archivo.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000000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 revisaremos un nuevo y curioso caso de estudio que tiene que ver con los límites de bits con los que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pueden trabajar los tipos de datos y sus funciones.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 veces sucede que, queremos manipular una variable de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un tipo de dato en cuestión; pero, nos olvidamos de los límites, en términos de función y bits soportables, que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posee el tipo de dato que está inicializando nuestras variables; y, entonces, nos extralimitamos con ellas.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¿Qué podemos hacer, por ejemplo, en el caso en que queramos manipular números enteros, declarados con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“int”, que resultan ser demasiado grandes para la capacidad de memoria de dicho tipo de dato (int)? Lo ideal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hubiera sido declararlos inicialmente como variable de tipo “long” para prevenir este tipo de situaciones;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pero en caso que, en el camino nos hubieramos dado cuenta de que, las variables del tipo int declaradas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efectivamente no iban a tener la capacidad de soportar una operativa de números más grandes que la propia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capacidad de memoria que tienen ellas... Qué se haría?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Pues bien, para no vernos “truncados” en el camino, lo que se haría es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t xml:space="preserve">una transición del tipo de dato, en el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single"/>
          <w:smallCaps w:val="0"/>
          <w:rFonts w:ascii="Times New Roman" w:eastAsia="Times New Roman" w:hAnsi="Times New Roman" w:hint="default"/>
        </w:rPr>
        <w:t xml:space="preserve">proceso, de las variables ya inicializadas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: a ese proceso se le llama: “Casting”. Antes veamos este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1144905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579/fImage664501858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145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661410" cy="899160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579/fImage198201919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899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Aquí hubo un “truncamiento”, si se fija la suma no está siendo correspondida: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Esto pasa porque el programa se “colgó”. Como las variables “a” y “b” fueron declaradas como números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enteros de tipo “int” y dichos números sólo permiten una cantidad maxima de almacenamiento de valores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cercana a los 2000000000 (de lado y lado, contando también sus negativos); entonces, al intentar sumar “a” y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“b” el resultado esperado de la suma, como iba a ser superior a 2000000000 (exactamente 4000000000), se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sobrepasarían los límites de la capacidad de memoria de la variable en cuestión, que es del tipo “int”...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quedando así la terminal “loca”.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Para arreglar esto podríamos, en el proceso, convertir esas variables ya inicializadas como números enteros 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tipo “int” a variables que sean de un tipo de entero con mayor capacidad de memoria; es decir, convertirlas al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tipo de dato “long”. Esto se haría por medio del proceso ya mencionado: “Casting”. 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1207135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579/fImage717472075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207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si se da cuenta hemos declarado una nueva variable del tipo “long” con nombre de: “ab”; y,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el paso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importante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la hemos inicializado o asignado en ella ya el proceso de transición de las variables “a” y “b”,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pasaron a ser variables del tipo “int” a variables del tipo “long”: “(long) a + (long) b;” (casting)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se declare en “long” sólo una variable, dentro de la misma equivalencia, “(long) a” ó “(long) b”: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todas las variables serán, instantaneamente, de tipo “long”.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Incluso, si inicialmente ya había sido declarada una de las variables en juego, “a” o “b”, como variable de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tipo “long”, no hubiera sido necesario tampoco poner en práctica un proceso de “casting”.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Por ejemplo, en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el siguiente escenario no hubiera sido necesario hacer “casting” para que el compilador interpretará que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estamos, ahora, frente variables de tipo “long” y no “int” (incluida incluso la variable “a”):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int a;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br/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long b;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long ab = a + b;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 es necesario hacer “casting” en este caso porque ya una de las variables de la equivalencia era,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inicialmente, una variable de tipo “long”. Y con eso es necesario para que el compilador entienda que,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entonces, la nueva variable “ab” es una variable de tipo “long”.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Retomando nuestro caso puntual, el “casting” se hace con el motivo de que ahora el programa no se “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crashee” por la falta de capacidad de almacenamiento en memoria en bits y por el límite de las funciones 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un tipo de dato. Veamos que ahora sí nos corre el programa correctamente, pues, el tipo de dato “long” sí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soporta números superiores a 2000000000 (de lado y lado, sean enteros negativos o enteros positivos):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642360" cy="90868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579/fImage195982253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909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 subestimemos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el paso más importante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si no convertimos propiamente esas variables operativas (en nuestro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caso, “a” y “b”) al tipo de dato ideal requerido, vamos a persistir en el error. Por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5320" cy="118745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579/fImage691562596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188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Acá sólo declaramos la nueva variable “ab” del tipo long y, aunque en la función printf la llamamos por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medio del especificador de formato “%li”, no es suficiente; la terminal sigue interpretando que “a” y “b”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son números enteros del tipo “int”. Y persiste el error: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385310" cy="889635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579/fImage2006826922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890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Hay otro ejemplo de “truncamiento” que ya tiene que ver propiamente con las funciones especificas de los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tipos de datos y no con su capacidad máxima de almacenamiento en bits. Puede revisarlo en la documentación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original de Harvard notes, week 1 (C).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Qué es abstracción?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Parte de un principio de resolución de problemas que radica en “simplificar detalles que de otro modo serían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más complicados”. Es decir, se conoce por “abstracción” hacer una simplificación de detalles que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originalmente resultaban ser más extensos. Lo anterior podría relacionarse con las buenas prácticas por las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se compone la variante del “diseño” en la programación.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Podemos reflejar aquí un buen ejemplo de “abstracción” que, fuera de tecnicismos sería el equivalente a: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tener un buen diseño. Veamos: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4685" cy="1882775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579/fImage676382252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883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contexto... puedo imprimir la palabra “miau” las mismas tres veces en una misma linea de código de una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función y sin necesidad de ocupar, paralelamente, tres lineas de código para eso: de esto se trata la abstracción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o el arte del “buen diseño”.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Qué es encriptar?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“encriptar”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significa ocultar algo de manera reversible (que pueda ser “des-ocultado”). El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texto no cifrado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generalmente se denomina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texto sin formato (texto plano)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 El texto encriptado generalmente se denomina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texto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cifrado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 Y el secreto utilizado se llama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clave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Unencrypted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text is generally called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plaintext.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Encrypted text is generally called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ciphertext.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And the secret used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is called a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000000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key.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PT San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4748133890.png"></Relationship><Relationship Id="rId6" Type="http://schemas.openxmlformats.org/officeDocument/2006/relationships/image" Target="media/fImage31939142606.png"></Relationship><Relationship Id="rId7" Type="http://schemas.openxmlformats.org/officeDocument/2006/relationships/image" Target="media/fImage72733154896.png"></Relationship><Relationship Id="rId8" Type="http://schemas.openxmlformats.org/officeDocument/2006/relationships/image" Target="media/fImage33510162012.png"></Relationship><Relationship Id="rId9" Type="http://schemas.openxmlformats.org/officeDocument/2006/relationships/image" Target="media/fImage66450185895.png"></Relationship><Relationship Id="rId10" Type="http://schemas.openxmlformats.org/officeDocument/2006/relationships/image" Target="media/fImage19820191938.png"></Relationship><Relationship Id="rId11" Type="http://schemas.openxmlformats.org/officeDocument/2006/relationships/image" Target="media/fImage71747207516.png"></Relationship><Relationship Id="rId12" Type="http://schemas.openxmlformats.org/officeDocument/2006/relationships/image" Target="media/fImage19598225321.png"></Relationship><Relationship Id="rId13" Type="http://schemas.openxmlformats.org/officeDocument/2006/relationships/image" Target="media/fImage69156259684.png"></Relationship><Relationship Id="rId14" Type="http://schemas.openxmlformats.org/officeDocument/2006/relationships/image" Target="media/fImage20068269227.png"></Relationship><Relationship Id="rId15" Type="http://schemas.openxmlformats.org/officeDocument/2006/relationships/image" Target="media/fImage67638225223.png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1232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