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Argumentos de la línea de comandos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Los argumentos de la línea de comandos es algo nuevo para nosotros. Tal como su nombre lo dice: es darle la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facultad a un archivo ejecutable, evidentemente ya compilado; que, justamente antes de ponerlo en marcha en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nuestra línea de comandos 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>(./file)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, se le pase un argumento. De ahí el nombre:      “Argumentos de la línea de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comandos” (similar a cuando le pasamos argumentos a comandos de la Shell).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Esto se hace, en principio, si se le pasa un argumento inicial a la función principal de tipo “main” de nuestro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archivo originario, que aún resulta ser de tipo .c, y no se deja “vacia” 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>(void)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 al ser declarada como: int main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(void).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Entonces, dicho lo anterior, no podemos usar “int main(void)” si queremos recopilar otros datos en la línea de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comandos cuando el usuario ejecute el programa.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Para recopilar estos argumentos de la línea de comandos del usuario, cambie su declaración de “main” para que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se vea así: 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int main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(int argc, string argv[])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 { ... (es preciso recalcar que dejamos la apertura del corchete). 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Hemos pasado entonces dos parametros, argumentos o entradas a “main” para poder trabajar 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con“argumentos de la línea de comandos”: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1. int argc y 2. string argv[] (un entero llamado: “argc” y una matriz de cadenas llamada: “argv”,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respectivamente).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Estos dos argumentos,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argc y argv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le permiten saber qué datos el usuario ha proporcionado en la línea de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comandos (en caso que éste desee pasarle un argumento, o varios, al fichero ejecutable justo en el momento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antes de ser ejecutado: “./file argument1 argument2...”).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Entonces, argc y argv, le dan la faculad al usuario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de poner a correr datos extras en la línea de comando (adicional al archivo ejecutable propiamente), los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interpreta y ejecuta: los argumentos especificados en cuestión.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Propiamente,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argc,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como número entero que es, lo que hace es contar o almacenar el número de argumentos de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la línea de comandos que el usuario escribió cuando el programa fue ejecutado.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4486910" cy="648335"/>
            <wp:effectExtent l="0" t="0" r="0" b="0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robertovelasquezdean/Library/Group Containers/L48J367XN4.com.infraware.PolarisOffice/EngineTemp/937/fImage214819246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7545" cy="6489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18"/>
          <w:szCs w:val="18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18"/>
          <w:szCs w:val="18"/>
          <w:rFonts w:ascii="Times New Roman" w:eastAsia="Times New Roman" w:hAnsi="Times New Roman" w:hint="default"/>
        </w:rPr>
        <w:t xml:space="preserve">nota: Por cada espacio, cualquier texto agregado al archivo ejecutable será contado como un argumento adicional.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Por otro lado,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argv,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es el argumento vector. Propiamente un vector o matriz de cadenas, almacena cadenas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porque está declarado de la siguiente forma: “string argv[]”. Entonces, lo que hace este argumento es,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primero, señalar cuántos elementos (cadenas de texto) tendrá su programa (que también es un argumento, una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cadena de texto en sí mismo, la cadena de texto: “./greedy”).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Dentro de [] se señala una cadena de texto por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elemento (contando desde 0, donde 0 equivale al elemento o cadena de texto número 1),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que se refiere a los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elementos o argumentos (en últimas cadenas de texto) que el usuario realmente ha escrito en la línea de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comandos cuando se ejecutó el programa; por ejemplo, “./greedy 1024 cs50”. Entonces, bajo ese mismo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orden de ideas, el argumento “argv” quedaría así: string argv [2]: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serían tres cadena de texto y que no lo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confunda la cadena de texto “1024”, no es un número entero, es una cadena de texto conformada por cuatro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caracteres porque así fue declarada inicialmente con el argumento “string argv []”, correspondería entonces 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la cadena de texto: argv [1].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3938270" cy="835025"/>
            <wp:effectExtent l="0" t="0" r="0" b="0"/>
            <wp:docPr id="1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Users/robertovelasquezdean/Library/Group Containers/L48J367XN4.com.infraware.PolarisOffice/EngineTemp/937/fImage2602511271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8904" cy="8356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Estos son nombramientos convencionales, pero no necesariamente deben llamarse así: “argc o argv”. Sólo se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les ha pasado ese nombre para darle un nombre de variable a los tipos de datos fundamentales que permiten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pasarle argumentos extras a un archivo ejecutable: el número entero y la matriz de cadena.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HAY UNA MEJOR EXPLICACIÓN DE ESTE TEMA, YA POR MEDIO DE UN EJERCICIO, LLAMADO: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“9. PROBLEM SET B. cifrado de julio cesar.c” en la carpeta de Harvard/Week 2, Arrays/Ejercicios Harvard.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1"/>
          <w:color w:val="auto"/>
          <w:sz w:val="18"/>
          <w:szCs w:val="18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1"/>
          <w:color w:val="auto"/>
          <w:sz w:val="18"/>
          <w:szCs w:val="18"/>
          <w:rFonts w:ascii="Times New Roman" w:eastAsia="Times New Roman" w:hAnsi="Times New Roman" w:hint="default"/>
        </w:rPr>
        <w:t xml:space="preserve">dato de interés: hay una función que permite convertir números en cadenas de textos.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18"/>
          <w:szCs w:val="18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18"/>
          <w:szCs w:val="18"/>
          <w:u w:val="none"/>
          <w:smallCaps w:val="0"/>
          <w:rFonts w:ascii="Times New Roman" w:eastAsia="Times New Roman" w:hAnsi="Times New Roman" w:hint="default"/>
        </w:rPr>
        <w:t xml:space="preserve">dato de interés: ejecutando la siguiente línea de comando: “echo $?” podemos saber que valor devuelve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18"/>
          <w:szCs w:val="18"/>
          <w:u w:val="none"/>
          <w:smallCaps w:val="0"/>
          <w:rFonts w:ascii="Times New Roman" w:eastAsia="Times New Roman" w:hAnsi="Times New Roman" w:hint="default"/>
        </w:rPr>
        <w:t xml:space="preserve">return.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  <w:widowControl/>
      <w:wordWrap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2148192469.png"></Relationship><Relationship Id="rId6" Type="http://schemas.openxmlformats.org/officeDocument/2006/relationships/image" Target="media/fImage26025112710.png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232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robertovelasquezdean</dc:creator>
  <cp:lastModifiedBy/>
</cp:coreProperties>
</file>