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Memoria (Memory)</w:t>
      </w:r>
      <w:r>
        <w:rPr>
          <w:i w:val="0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, con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>memoria</w:t>
      </w:r>
      <w:r>
        <w:rPr>
          <w:i w:val="0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 en C nos referimos a la RAM (datos volatiles), no al disco duro (datos permanentes).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semana 2, hablamos sobre la memoria y cómo cada byte tiene una dirección, o identificador, para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podamos referirnos a dónde se almacenan realmente nuestros datos.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bloque 4, apartado “6. Punteros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paso por referencia” ampliamos este tema mediante un ejemplo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 que, por convención, las direcciones para memoria usan el sistema de conteo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hexadecimal,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base-16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hay 16 dígitos: 0-9, y A-F como equivalentes a 10-15. Pongamos algo de contexto. Si usted recuerda,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nuestro sistema de conteo inicial fue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binario,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base-2,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base-2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porque cada bit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podía asumir, como mucho,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dos posibilidades de dígitos los cuáles eran: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 y 1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(más nada).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Bueno, resulta que,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posibilidades son mayores por cada espacio de memoria: los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que puede tomar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dígito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se limitan solamente a unos (1s) o ceros (0s); sino que, como ya 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planteamos, pueden tomar valores que van desde el 0 hasta el 9 y continuan con el A hasta el F (siendo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considerados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decimales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también), en su orden alfabetico. Si se da cuenta, si contabilizamos cúantas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posibilidades de dígito hay desde 0 a 9 y, posteriormente, desde A hasta F...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daría un número equivalente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 posibles (base-16)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no sólo de 2 posibles como lo es inicialmente un sistema binario (base-2) ni sólo 10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posibles como lo es un sistema decimal que va de 0 a 9 (base-10).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base-16: 0, 1, 2, 3, 4, 5, 6, 7, 8, 9, A(10), B(11), C(12), D(13), E(14), F(15);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totales como posibilidades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valor por cada espacio de memoria individual, dígito,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hexadecimal. Así fue establecido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convencionalmente por el hombre.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valor decimal de, por ejemplo,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equivalente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0 y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siendo considerado un dígito también dentro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sería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15.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¿Qué seguiría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hay más nada; y, si quisieramos representar el valor 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sigue; es decir,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16...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debemos entonces incrementar en una unidad nuestro primer espacio de memoria: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siendo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el espacio de memoria donde se ubica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restaure a su partida inicial: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estamos ante un incremento de valores (en una unidad decimal extra para ser precisos), entonces el valor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10 (que son dos dígitos)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16. 10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precisamente lo que viene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(que, recuerde, tiene un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esto,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conociendo el valor decimal de cada posibilidad de dígito en un sistema hexadecimal, siendo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cada dígito hay 16 posibilidades de valor para ser tomadas: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van de 0-9 a A-F (y no 2 posibilidades como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binario, 0 y 1), tenemos que: Con dos dígitos, podemos tener un valor máximo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FF, ó 16^1 * 15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+ 16^0 * 15 = 240 + 15 = 255 (ó 16 * 16 = un espacio de 256 digitos totales, de 0 a 255)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es el mismo valor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máximo con 8 bits -o un byte- de binario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(2 * 2 * 2 * 2 * 2 * 2 * 2 * 2 = 256).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Entonces, dos dígitos en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pueden representar convenientemente el valor de un byte -8 bits- en binario (es decir, 8 digitos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 binario).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Cada dígito en hexadecimal, con 16 valores, se asigna a cuatro bits en binario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2 * 2 * 2 * 2 = 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suelen comprender 8 dígitos en su conjunto (aunque esto puede variar).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ejemplo, en el sistema de color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RGB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utiliza convencionalmente hexadecimal para describir la cantidad de cada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color, pero usa 6 digitos en conjunto.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000000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hexadecimal representa 0 para cada uno de los colores rojo,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verde y azul, dando como resultado un color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negro.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FF0000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sería 255, o la mayor cantidad posible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rojo.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FFFFFF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indicaría el valor más alto de cada color, combinándose para ser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blanco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más brillante. Con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diferentes valores para cada color, podemos representar millones de colores diferentes.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dato: para la memoria de nuestra computadora, también usaremos hexadecimal para cada dirección 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(no un sistema binario), así se estableció de forma convencional (quizás porque resume las cosas).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facil confundir un sistema de conteo por otro; por ejemplo, no saber cuando se está hablando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o de un sistema hexadecimal. Pues bien, para evitar este tipo de conflictos, lo ideal es que por escrito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indiquemos que un valor está en hexadecimal prefijándolo con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en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0x10, donde el valor,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realmente es 10 (0x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sólo un indicativo que refiere a hexadecimales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) es igual a 16 en decimal, en lugar de 10.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10, que son dos dígitos, en Hexadecimal corresponden a un valor decimal equivalente a 16.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u w:val="singl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1677035"/>
            <wp:effectExtent l="0" t="0" r="0" b="0"/>
            <wp:docPr id="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997/fImage876862751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7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u w:val="single"/>
          <w:rFonts w:ascii="Times New Roman" w:eastAsia="Times New Roman" w:hAnsi="Times New Roman" w:hint="default"/>
        </w:rPr>
        <w:t xml:space="preserve">Es importante entender este sistema ya que muchas veces las</w:t>
      </w:r>
      <w:r>
        <w:rPr>
          <w:i w:val="1"/>
          <w:b w:val="1"/>
          <w:color w:val="auto"/>
          <w:sz w:val="18"/>
          <w:szCs w:val="18"/>
          <w:u w:val="single"/>
          <w:rFonts w:ascii="Times New Roman" w:eastAsia="Times New Roman" w:hAnsi="Times New Roman" w:hint="default"/>
        </w:rPr>
        <w:t xml:space="preserve"> direcciones en memoria </w:t>
      </w:r>
      <w:r>
        <w:rPr>
          <w:i w:val="1"/>
          <w:b w:val="0"/>
          <w:color w:val="auto"/>
          <w:sz w:val="18"/>
          <w:szCs w:val="18"/>
          <w:u w:val="single"/>
          <w:rFonts w:ascii="Times New Roman" w:eastAsia="Times New Roman" w:hAnsi="Times New Roman" w:hint="default"/>
        </w:rPr>
        <w:t xml:space="preserve">están representadas en</w:t>
      </w:r>
      <w:r>
        <w:rPr>
          <w:i w:val="1"/>
          <w:b w:val="1"/>
          <w:color w:val="auto"/>
          <w:sz w:val="18"/>
          <w:szCs w:val="18"/>
          <w:u w:val="single"/>
          <w:rFonts w:ascii="Times New Roman" w:eastAsia="Times New Roman" w:hAnsi="Times New Roman" w:hint="default"/>
        </w:rPr>
        <w:t xml:space="preserve"> Hexadecimal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Direcciones (Addresses)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hablar de direcciones en C, es preciso saber de "parametro de dirección” y "parametro de indirección".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dirección (dirección de operador “&amp;”):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tienen la función de indicar u obtener la dirección (o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identificador) donde se guarda o almacena una variable, y su valor o dato, dentro de la memoria del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computador.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simbolo de 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usamos en "scanf" es un buen ejemplo: lo que hace,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es decirle al valor de entrada (pasado por tecla) que se guarde o almacene en una dirección: esa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sería la dirección de 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seleccionada con ampersand "&amp;". Digamos, por ejemplo “&amp;x”.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indirección: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Este, contrario al "parametro de dirección" que se representa simbolicamente con un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representado por un asterisco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"*"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variable que opera con “*”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"Puntero".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lo que hace un puntero es irse el valor del que tenga (o guarde) la dirección de una variable;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una variable que contiene la dirección de algún otro valor (que mire dentro de una dirección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memoria en particular). Más fácil: la variable que guarda a la variable que tenga el ampersand "&amp;".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resumen, “&amp;” le dice en qué dirección se encuentra una variable; y, el “*” le dice: “vaya a esa dirección”.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Estos parametros trabajan conjuntamente porque requieren de especificar “direcciones” para su funcionalidad.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7145" cy="178562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997/fImage330061128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1786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Sin embargo (y en primer lugar), si deseamos, podemos conocer también propiamente la dirección que tiene,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memoria del computador, una variable.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 si queremos llamar propiamente la dirección de una variable en una función, el especificador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formato para la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dirección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cualquier variable es: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%p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(p de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pointer, puntero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si queremos llamar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una variable, cualquiera que sea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(la dirección que tiene especificamente dentro de toda la memoria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computador);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y, suponiendo que nuestra variable de interés se llama, por ejemplo, “x”... al ser llamada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en una función tipo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printf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necesario indicar el especificador de formato preciso para ella, el cual es: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%p; y, además, dejar claro a qué variable en especifica se le quiere llamar su dirección, en este caso,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referimos a la dirección de la variable “x”; para eso, para llamar a la dirección de “x” dentro de una función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hacerlo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&amp;x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Veamos esto en un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553210" cy="1080135"/>
            <wp:effectExtent l="0" t="0" r="0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997/fImage174381268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1080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imprimiría este programa en C sería la dirección, dentro de toda la memoria del computador, donde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encuentra ubicada la variable de tipo entero “n”. No imprime “50”, no. Imprime la dirección de esa variable;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decir, “0x7ffd80792f7c” para este caso.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algo curioso: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imagina cómo resultaría la escritura de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0x7ffd80792f7c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 se escribiera con un sistema binario en vez de un sistema hexadecimal?, teniendo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cuenta ya que, por cada digito en hexadecimal, se ocupan 4 digitos en binario... sería algo extremadamente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engorroso! Entonces, sí, vealo de la siguiente forma: hacer uso de un sistema hexadecimal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una forma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realmente concisa de expresar números binarios que de otro modo serían engorrosos.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anterior, saber la ubicación exacta de una variable dentro de la memoria del computador, realmente no tiene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mucha utilidad o relevancia; sin embargo, nos será muy útil más adelante el uso de las direcciones: saber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se ubica una variable para luego ir hacia ella o hacia su valor (como lo hicimos, por ejemplo, en nuestro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programa de este apartado: “direcciones”).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hecho, si juntamos los dos parametros simultaneamente,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“*&amp;”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una variable (o para llamarla),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realmente lo que estamos haciendo es averiguar la dirección de la variable de interés -y en primer lugar (con &amp;);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luego, yendo a ella (con *); es decir, simplemente podíamos llamar a la variable en sí misma y daba igual: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ubicariamos directamente en su dirección con su respectivo valor.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se entienda mejor...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Esto: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1382399</wp:posOffset>
                </wp:positionH>
                <wp:positionV relativeFrom="paragraph">
                  <wp:posOffset>577855</wp:posOffset>
                </wp:positionV>
                <wp:extent cx="914400" cy="914400"/>
                <wp:effectExtent l="42545" t="0" r="42545" b="0"/>
                <wp:wrapNone/>
                <wp:docPr id="14" name="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36385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;margin-left:109pt;mso-position-horizontal:absolute;mso-position-horizontal-relative:text;margin-top:46pt;mso-position-vertical:absolute;mso-position-vertical-relative:text;width:0.4pt;height:28.6pt;v-text-anchor:middle;z-index:251624976" coordsize="5715,363220" path="m,l5715,36322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6415" cy="1702435"/>
            <wp:effectExtent l="0" t="0" r="0" b="0"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997/fImage290312764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72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703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lo mismo que esto: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1360810</wp:posOffset>
                </wp:positionH>
                <wp:positionV relativeFrom="paragraph">
                  <wp:posOffset>545470</wp:posOffset>
                </wp:positionV>
                <wp:extent cx="914400" cy="914400"/>
                <wp:effectExtent l="42545" t="0" r="42545" b="0"/>
                <wp:wrapNone/>
                <wp:docPr id="16" name="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36385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107pt;mso-position-horizontal:absolute;mso-position-horizontal-relative:text;margin-top:43pt;mso-position-vertical:absolute;mso-position-vertical-relative:text;width:0.4pt;height:28.6pt;v-text-anchor:middle;z-index:251624977" coordsize="5715,363220" path="m,l5715,36322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6415" cy="1670050"/>
            <wp:effectExtent l="0" t="0" r="0" b="0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997/fImage29031287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77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670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Más sobre los punteros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siempre se declara con el asterisco (*); y, como interesa que tome el valor de otra variable,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medio de su dirección, generalmente se inicializa con otra variable compuesta por un parametro de dirección;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 x = 4;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int *y = &amp;x;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para llamar un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dentro de una función,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corra éste en función de la dirección de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variable a la que está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apuntando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observe de nuevo este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7145" cy="1545590"/>
            <wp:effectExtent l="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997/fImage330063399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1546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función se llama a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(*y)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en este caso, la función que la llama es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printf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queremos que se imprima el valor que se encuentra en la dirección de la variable que está siendo apuntada,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literalmente, por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*y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que se imprima entonces el valor que conserva la variable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x.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Punteros &amp; Strings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Partamos de la base de que, en toda cadena de texto, su dirección dentro de la memoria corresponde a la misma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tiene el primer caracter de la cadena en cuestión. Por ejemplo, si declaro una cadena con nombre de “S”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inicializo con “hi!”; tenemos que: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S = “hi!”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ubicación, dentro de la memoria, de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la dirección del primer caracter, “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 en la dirección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0x123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mientras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igual: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0x123.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“i” estaría en 0x124 y “!” en 0x125.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 es así porque tiene sentido que,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o dirección dentro de la memoria, de la cadena de texto, se contabilice desde su punto inicial: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caracter.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por la longitud propia del texto, ya sabremos cuánto espacio de memoria (en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términos de bytes) asumiría en su conjunto el string o la cadena de texto según los caracteres que ésta contenga;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contiguos,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va ocupandose de la memoria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caracter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hasta llegar al último caracter del texto: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cada caracter (variable tipo char) pesa un byte. Tal que así, por ejemplo: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5955" cy="2393315"/>
            <wp:effectExtent l="0" t="0" r="0" b="0"/>
            <wp:docPr id="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997/fImage1597931973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393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Observe cómo varia la ubicación en una unidad, dentro de la memoria, al pasar del caracter s[0] a s[1]. Como estamos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hablando del espacio de la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memoria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justamente; entonces, esa unidad adicional, se refiere al conteo de un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byte extra.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sí, en un nivel bajo,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técnicamente una dirección; y si, técnicamente, es la dirección del primer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(o caracter). Por lo anterior, puede pensar también de los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simples punteros; es decir, como ir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la dirección de un primer caracter que se encuentra situado en algún lugar de la memoria del computador.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todo lo anterior, el tipo de datos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de CS50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realmente resulta ser un tipo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 personalizado creado con la herramienta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structs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finalmente incorporado en el archivo cd50.h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tipo de dato más, parte de la base conceptual de pensar a las cadenas de texto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(Strings)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“ir a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 primer caracter que se encuentra situado en algún lugar de la memoria del computador”.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Revise el archivo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compare.c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ejercicios Harvard de esta misma semana para tener más claridad sobre este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asunto.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lo mismo decir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S = “hi!”;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Char *S = “hi!”;.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exactamente lo mismo. El texto finaliza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 recorrido, desde ese caracter inicial, hasta que se choca o tropieza con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nulo: “</w:t>
      </w:r>
      <w:r>
        <w:rPr>
          <w:spacing w:val="0"/>
          <w:i w:val="1"/>
          <w:b w:val="0"/>
          <w:color w:val="4D5156"/>
          <w:sz w:val="21"/>
          <w:szCs w:val="21"/>
          <w:highlight w:val="white"/>
          <w:rFonts w:ascii="arial" w:eastAsia="arial" w:hAnsi="arial" w:hint="default"/>
        </w:rPr>
        <w:t>\0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*S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apuntaría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realmente a la dirección del primer caracter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su valor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 de la cadena con la que ha sido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definida (me refiero a la misma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“*S”)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En consecuencia, si quisieramos ir (e imprimir) el valor del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segundo y tercer caracter, bajo este modelo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cómo sería? Veamoslo: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2871470"/>
            <wp:effectExtent l="0" t="0" r="0" b="0"/>
            <wp:docPr id="2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997/fImage1601662273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8721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 sentido que se adicione una unidad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*S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debido a que, dentro del espacio de memoria, la cadena de texto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ocupa por cada caracter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(y son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bytes contiguos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caracter por caracter seguido hasta que finalice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 con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dos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s+1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tres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s+2.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 forma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imprimir caracter por caracter, asistiendose de punteros y adiciones, se le llama: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si se extralimita y empieza a husmear más allá del espacio de memoria correspondiente a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cuestión; es decir, tocando ya el espacio de memoria que no le corresponde -idealmente- tocar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está programando)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está expuesto a visualizar un error de tipo: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“Segmentation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fault”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esto tiende a significar que: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estás tocando un segmento de la memoria que no deberias tocar (porque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se está programando... se supone):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como buscar arbitrariamente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cualquier lugar de la memoria de su computadora.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Un dato: las variables punteros ocupan 8 bytes.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sólo para probar que realmente el tipo de dato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CS50 es exactamente lo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decir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biblioteca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estandar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C, imprimamos literalmente toda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(no caracter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caracter, sino todo el texto de golpe),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334770" cy="1189355"/>
            <wp:effectExtent l="0" t="0" r="0" b="0"/>
            <wp:docPr id="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997/fImage176742378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189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especificador de formato para llamar cadenas de texto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(strings)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funciones es el mismo: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%s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posteriormente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hace un llamado a la variable en sí que conserva a la cadena de texto en su totalidad: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Detalles extras sobre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3136265"/>
            <wp:effectExtent l="0" t="0" r="0" b="0"/>
            <wp:docPr id="2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997/fImage966182797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136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últimas,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punteros son direcciones a ubicaciones en la memoria donde viven las variables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ahí podemos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acceder a la información de la ubicación o a la información del valor que asume propiamente la variable (su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 en sí), a esta forma de trabajar los punteros, entre dos variables, se le llama: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puntero estático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por eso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y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&amp;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trabajan mayoritariamente de la mano, en este caso puntual,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 necesitan el uno al otro.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78" behindDoc="0" locked="0" layoutInCell="1" allowOverlap="1">
            <wp:simplePos x="0" y="0"/>
            <wp:positionH relativeFrom="margin">
              <wp:posOffset>484510</wp:posOffset>
            </wp:positionH>
            <wp:positionV relativeFrom="margin">
              <wp:posOffset>6992624</wp:posOffset>
            </wp:positionV>
            <wp:extent cx="4763770" cy="1706245"/>
            <wp:effectExtent l="0" t="0" r="0" b="0"/>
            <wp:wrapSquare wrapText="bothSides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997/fImage21357467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170688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Ahora... Si usted declara un puntero y resulta que, por accidente o por cualquier otro motivo, no lo inicializo (no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le asignó una dirección dentro de la memoria a la cuál apuntar - como sí lo hicimos, por ejemplo, con el anterior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caso: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“int *pk;”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luego,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“pk = &amp;k”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); usted debería protegerse ante esa eventualidad, de lo contrario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programa irá a algún lugar aleatorio de la memoría RAM que no desea tocar; generando así, potencialmente, un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error de segmentación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 esto se habla más, puntualmente, en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“garbage.c”)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¿Cómo se protegería?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Pues, cubriendose con una condicional que corra,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en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caso que (if)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puntero nunca haya sido definido o haya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sido definido aleatoriamente por la PC ya que usted no lo hizo en un principio; para ese caso puntual, lo ideal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entonces que, inmediatamente, se cierre el programa devolviendo un error, 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062990" cy="649605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997/fImage1014049356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650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En el anterior ejemplo estamos considerando que hemos creado un puntero, inicialmente, con nombre de “b”. (*b).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"NULL" representa un valor de puntero que no apunta a ninguna dirección de memoria válida. Cuando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inserta un valor "no valido" para el puntero (o no se apunta a ninguno), conviene cerrar el programa con "return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1;".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NULL puede definirse como una expresión constante equivalente a los valores cero entero, cero entero largo 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cero convertido.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dato curioso...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deseo crear varios punteros en una misma línea de código, del mismo tipo, debo hacerlo así: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201545" cy="601345"/>
            <wp:effectExtent l="0" t="0" r="0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997/fImage21768507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6019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uso de punteros, al final del día, resulta muy útil (y nos permiten una excelente manera) para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pasar datos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entre funciones que de otro modo no podríamos hacer; por ejemplo, hasta ahora, no se podía trabajar dentro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una función con las variables declaradas dentro de otra función,... con punteros podría hacerlo, los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punteros nos permiten pasar variables entre funciones (ojo, no copias de las variables; sino las variables en sí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mismas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-porque vamos directamente a su dirección, por medio de punteros, y nos situamos ahí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 significa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si hacemos un cambio en una función, 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punteros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ese cambio tendrá efecto en una función diferente.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Los punteros trabajan con una reserva gigante de memoria dinámica que se divide en dos partes: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heap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stack;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respectivamente, la primera se encarga de inyectarle más memoria, en caso que se requiera, a un programa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ya se encuentra ejecutandose; y, la segunda, es la memoria dinámica con la que el programa ya trabaja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asignación inicial (las variables que se declaran y se inicializan con un valor, por ejemplo). De hecho, la función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malloc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toma una memoria dinámica que se le solicita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heap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mientras se esté ejecutando el programa;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memoria,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entre otras cosas, que debe ser liberada luego, al finalizar el programa, para que pueda ser re-utilizada en otro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programa que la requiera; entonces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liberar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lo ideal, pues, el sistema no asume ese proceso por sí solo; y, si 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libera suficiente memoria al sistema, podría entonces padecer de algo que se llama: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pérdida de memoria,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cuál eventualmente va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ralentizar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 computador o dispositivo: los otros programas, por ejemplo, se quedarían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colgados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(y el sistema en su conjunto)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porque no tienen más memoria dinámica disponible a la que puedan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acceder, no la mínimamente suficiente, para poder ejecutarse. Explicado todo lo anterior, por eso es que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requiere que, luego de trabajar 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malloc,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libere memoria con la función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free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10940" cy="165100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997/fImage198603176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165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Curioso caso de “toma de memoria” con malloc para un string (char *word) de 50 caracteres en total; es decir, le estamos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pidiendo al sistema que nos guarde una Q de memoria dinámica para 50 caracteres según el tamaño en bytes de cada uno.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liberamos con </w:t>
      </w:r>
      <w:r>
        <w:rPr>
          <w:sz w:val="20"/>
        </w:rPr>
        <w:drawing>
          <wp:inline distT="0" distB="0" distL="0" distR="0">
            <wp:extent cx="789940" cy="165735"/>
            <wp:effectExtent l="0" t="0" r="0" b="0"/>
            <wp:docPr id="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997/fImage236132575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663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422265" cy="2813685"/>
            <wp:effectExtent l="0" t="0" r="0" b="0"/>
            <wp:docPr id="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997/fImage55689363146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814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sabría interpretar bien esto? Pruebelo.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veamos cuando liberemos memoria, ¿qué pasa?...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422900" cy="2815590"/>
            <wp:effectExtent l="0" t="0" r="0" b="0"/>
            <wp:docPr id="2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997/fImage78560394862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2816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Cuando libero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 b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 la memoria que le había asignado, con malloc inicialmente, desaparece (es por eso el recuadro ahora en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color blanco).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a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y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b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todavía apuntan a donde solían estar, pero ya no tengo acceso a la memoria como tal (todo se pierde).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revise por favor, el apartado de “Ejercicos Harvard” de esta misma semana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Memoria.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Hay verá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introducción y explicación a mayor profundidad, mediante ejercicios, de temas como: “malloc”, “strcpy &amp;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free”, “valgrind”, “garbage”, “more pointers”, “FILE I/O”, etc.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7686275140.png"></Relationship><Relationship Id="rId6" Type="http://schemas.openxmlformats.org/officeDocument/2006/relationships/image" Target="media/fImage33006112866.png"></Relationship><Relationship Id="rId7" Type="http://schemas.openxmlformats.org/officeDocument/2006/relationships/image" Target="media/fImage17438126864.png"></Relationship><Relationship Id="rId8" Type="http://schemas.openxmlformats.org/officeDocument/2006/relationships/image" Target="media/fImage29031276491.png"></Relationship><Relationship Id="rId9" Type="http://schemas.openxmlformats.org/officeDocument/2006/relationships/image" Target="media/fImage2903128791.png"></Relationship><Relationship Id="rId10" Type="http://schemas.openxmlformats.org/officeDocument/2006/relationships/image" Target="media/fImage33006339940.png"></Relationship><Relationship Id="rId11" Type="http://schemas.openxmlformats.org/officeDocument/2006/relationships/image" Target="media/fImage159793197304.png"></Relationship><Relationship Id="rId12" Type="http://schemas.openxmlformats.org/officeDocument/2006/relationships/image" Target="media/fImage160166227332.png"></Relationship><Relationship Id="rId13" Type="http://schemas.openxmlformats.org/officeDocument/2006/relationships/image" Target="media/fImage17674237854.png"></Relationship><Relationship Id="rId14" Type="http://schemas.openxmlformats.org/officeDocument/2006/relationships/image" Target="media/fImage96618279759.png"></Relationship><Relationship Id="rId15" Type="http://schemas.openxmlformats.org/officeDocument/2006/relationships/image" Target="media/fImage2135746707.png"></Relationship><Relationship Id="rId16" Type="http://schemas.openxmlformats.org/officeDocument/2006/relationships/image" Target="media/fImage10140493566.png"></Relationship><Relationship Id="rId17" Type="http://schemas.openxmlformats.org/officeDocument/2006/relationships/image" Target="media/fImage2176850728.png"></Relationship><Relationship Id="rId18" Type="http://schemas.openxmlformats.org/officeDocument/2006/relationships/image" Target="media/fImage1986031761.png"></Relationship><Relationship Id="rId19" Type="http://schemas.openxmlformats.org/officeDocument/2006/relationships/image" Target="media/fImage2361325752.png"></Relationship><Relationship Id="rId20" Type="http://schemas.microsoft.com/office/2007/relationships/hdphoto" Target="media/OImage3211541.wdp"></Relationship><Relationship Id="rId21" Type="http://schemas.openxmlformats.org/officeDocument/2006/relationships/image" Target="media/fImage556893631466.png"></Relationship><Relationship Id="rId22" Type="http://schemas.openxmlformats.org/officeDocument/2006/relationships/image" Target="media/fImage785603948621.png"></Relationship><Relationship Id="rId2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361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