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413639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435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137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240474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435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405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63881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435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39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225" cy="84709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435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47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contraseña de tu repositorio. “Password Cracking” es la ciencia que consiste en descifrar contraseñas 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también se refiere al acto o proceso que se lleva a cabo para recuperar contraseñas que se han sido almacenadas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un equipo (cualquiera, desde dispositivos moviles a dispositivos de escritorio). En nuestro caso entonces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estamos 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oogle San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