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Profundización en GIT/GITHUB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Cuando uno inicializa GIT (con el comando git init), suceden dos cosas especialmente: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1. Se crea un area en memoria RAM que se llama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“Staging”,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 por estar situada en la memoria RAM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esta area también se le conoce como: “area temporal”. Básicamente, es un area completamente desconectada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funciona en memoria RAM y es donde, al principio, vas a ir agregando los cambios que vayas haciendo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br/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tu carpeta), cambios que todavía no han sido guardados en una copia de seguridad (es decir, que todavía no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están en repositorio local); importante esto, tan sólo se les está haciendo un seguimiento en un area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paso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cambio registrado que quiera hacerle un seguimiento en el area temporal (staging area) debe hacerlo con el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add”.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si, por el contrario, quiere dejar de rastrearlo o de seguirlo (al fichero o carpeta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modificada en cuestión), situandolo en su punto de partida de nuevo (ya sea porque se equivocó en alguna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modificación y quiere volver a manipular algunas cosas); usted puede ejecutar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rm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--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cached”.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nuevo, su directorio o fichero en cuestión, vuelve a ser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untracked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(deja de ser rastreado).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2. Ya lo introducimos antes, se logra la creación de un repositorio local de la carpeta actual (local repo) que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recibe por nombre: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“.git”,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una carpeta oculta que emula a la carpeta original y que sirve para guardar,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potencialmente, copias de seguridad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(commits)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 todos los cambios o ediciones que estemos haciendo dentro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nuestra carpeta en cuestión. Para tener en cuenta, antes de recurrir a crear una copia de seguridad de algún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cambio o edición que haya hecho... debe primero hacerle un seguimiento; es decir, llevarlo a “area temporal”; y, 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eventualmente, luego querrá llevar esos cambios a repositorio local (ahora sí, al crearles copias de seguridad).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preciso decir que, depende de nosotros qué cambios almacenar de forma definitiva en nuestro disco duro por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medio de copias de seguridad llamadas “commits”... en dicha carpeta oculta llamada “.git”: nuestro repositorio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local. En repositorio local no habrá nada mientras no se haya decidido qué cosas guardar en copias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el comando que se encarga de crear esas copias de seguridad se ejecuta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“git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-m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‘’”.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-m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 ser considerada como un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elemento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(una extensión del comando “git commit”) que nos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darle una referencia identificativa y explicita, por medio de un comentario o mensaje, al cambio que estamos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almacenando en una copia de seguridad: básicamente nos recuerda qué fue lo que puntualmente modificamos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nuestra anterior versión.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Al ejecutar “git commit” sobre nuestros cambios, éstos pasan de estar seguidos/rastreados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(tracked)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“area temporal” para llegar a un “repositorio local”. Todo “commit” generado recibe un número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identificación, se llama: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identificador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(un nombre interno de la base de datos de Git para cada cambio), y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básicamente con él es que podemos hacer todo tipo de manipulación sobre los “commits”. Al último “commit”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copia de seguridad, nuestra última versión, se le llama también: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“Head”.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Entonces, tenemos que todas las copias de seguridad que hagamos se almacenarán en repositorio local (y sólo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eso). El repositorio local recibe un nombre por defecto de: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“Master”.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realmente es una rama, la rama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 de nuestro repositorio. Eventualmente necesitaría crear varias cuando esté trabajando un proyecto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grande o cuando esté trabajando un proyecto en equipo.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ejemplo, con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posible crear diferentes ramas de desarrollo que pueden converger en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repositorio. Podríamos hablar de: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estable,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probar nuevo código, fuera de lo convencional que te pide o exige el proyecto, que podría ayudarte a encontrar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“por accidente” algo mejor que lo convencional)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de ellas se les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,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nuestra rama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principal, sin estropear en absoluto todo el trabajo que ya se lleva hecho en ella (para cuidar el trabajo que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tenemos hecho en código precisamente); entonces, todos los errores a los que nos expongamos, posiblemente,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el intento de resolución de nuestro bug... que se queden y se den, con toda tranquilidad, en la rama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experimental. Cuando ya por fin hayamos podido encontrar, en dicha rama experimental, la resolución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problema a nuestro bug, luego de desordenarlo todo sin mosquearnos por eso (no hay nada de qué preocuparse,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eso se creo esta rama); bueno, ahí sí podrá unir la rama experimental, su última versión, a la versión última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Caso aparte, si está trabajando en equipo, cada integrante del mismo puede trabajar su parte en ramas diferentes;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al final, cuando cada integrante ya tenga la edición definitiva de su parte (de cada sub-rama derivada de la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logrando así que todos los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avances definitivos de cada compañero de trabajo estén unidos a un proyecto final. En general, esta unión entre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los avances de las sub-ramas y la rama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hace por medio de un comando que se llama: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tip: Si por ejemplo me gustaría ver la totalidad de los cambios que he hecho sobre una carpeta, o fichero en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especifico, en función de Git; podríamos ejecutar el siguiente comando: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log”.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Hay podríamos observar, por 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ejemplo, cuántos “commits” o copias de seguridadad le he creado a una carpeta o a un fichero en especifico.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