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Platzi: sobre qué es la lógica proposicional y sobre qué son las inferencias lógicas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</w:pP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La lógica proposicional se puede definir como ese proceso de pensamiento que analiza las relaciones entre las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proposiciones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(anteriormente habíamos definido 4 de ellas: “mayor que”, “menor que”, “distinto a” e “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igual a”)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; pues, lo que hace la lógica proposicional es tomar esas proposiciones, proposiciones dadas a raiz de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la comparación entre dos objetos o situaciones; para posteriormente revelarnos si, dicha relación entre esos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objetos, adquiere un valor de verdad (en caso de ser la relación verdadera, de haber una equivalencia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correspondida y afirmativa en dicha comparación) o un valor de falsedad (en caso de ser la relación falsa).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</w:pP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Esta “lógica proposicional” por lo general se compone por tres elementos: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variables (por ej.: a, r, f1, root),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conectores (por ej.: =, &lt;, &gt;, !=) y auxiliares (por ej.: [...], (...), {...})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Las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variables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son esas “letras” que usamos para asignar un valor, un anunciado o un argumento.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Los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conectores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son esos “signos” que nos permiten comparar entre sí a las variables creadas. Toman el papel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justamente de las “preposiciones”; es decir, por ej.: “mayor que”, “menor que”, “distinto a” e “igual a”,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etc...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&amp; los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auxiliares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son esos “simbolos” que tienen la especialidad de ser simbolos de agrupación, sirven para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darle sentido, organización y estructuración a todos nuestros procesos lógicos; en un contexto netamente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relacionado con programación, los “auxiliares”, ayudan a que los procesos lógicos llevados a cabo se hagan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plenamente entendibles para la maquina y ésta sepa identificar también cuándo estamos frente una función,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condición, expresión booleana o bucle (estas palabrás técnicas las aprenderá más adelante.)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Originalmente estos tres elementos, más allá de aplicarse solamente al área de la programación, se aplica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propiamente sobre el área del razonamiento lógico y, en consecuencia, si retomamos... tenemos que: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También existe algo que se llama como: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 Inferencias lógicas,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son el proceso de razonamiento por el cual se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deriva o extrae una conclusión de una o varias premisas (varais premisas entre sí conforman un argumento). Es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decir, todo ese proceso que conlleva a concluir sobre algo a partir de unos hechos argumentativos se le conoce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como: “Inferencia lógica”.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Según el número de premisas llevadas a cabo en este proceso podemos clasificar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al tipo de inferencia lógica: inmediata (si la conclusión que hicimos sobre algo sólo precisó de una premisa)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o mediata (si la conclusión que hicimos sobre algo precisó de dos o más premisas). Ej.: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</w:pPr>
      <w:r>
        <w:rPr>
          <w:sz w:val="20"/>
        </w:rPr>
        <w:drawing>
          <wp:inline distT="0" distB="0" distL="0" distR="0">
            <wp:extent cx="5731510" cy="3279775"/>
            <wp:effectExtent l="0" t="0" r="0" b="0"/>
            <wp:docPr id="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559/fImage15766410994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804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Las inferencias lógicas también pueden ser clasificadas según su forma de razonamiento: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inductiva y deductiva.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</w:pPr>
      <w:r>
        <w:rPr>
          <w:sz w:val="20"/>
        </w:rPr>
        <w:drawing>
          <wp:inline distT="0" distB="0" distL="0" distR="0">
            <wp:extent cx="5731510" cy="3422650"/>
            <wp:effectExtent l="0" t="0" r="0" b="0"/>
            <wp:docPr id="1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robertovelasquezdean/Library/Group Containers/L48J367XN4.com.infraware.PolarisOffice/EngineTemp/559/fImage19423712866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232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Sobre los conectivos lógicos y cómo los podemos utilizar dentro de nuestras proposiciones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Los conectivos lógicos (o conectores) los utilizamos para formar proposiciones más complejas a partir de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proposiciones simples; estos conectivos son: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negación: no, nunca, jámas, nada;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conjunción: y;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disyunción: o;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condicional: si... entonces;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&amp; bicondicional: Si y sólo si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Los conectivos nos pueden revelar que, aunque hagamos uso de los mismos dos enunciados siempre, el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significado de una oración que los esté empleando puede variar notablemente dependiendo del conector que se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esté usando. Por ejemplo, tenemos estos dos enunciados;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p: Estudio en Platzi; q: Apruebo el examen.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En negación, -q: No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 apruebo el examen.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En conjución p^q: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Estudio en Platzi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y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 apruebo el examen.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En distunción p∨q: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Estudio en Platzi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o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apruebo el examen.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En condicional p→q: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Si estudio en Platzi entonces apruebo el examen.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En bicondicional q↔p: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Apruebo el examen si y sólo si estudio en Platzi.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single"/>
          <w:smallCaps w:val="0"/>
          <w:rFonts w:ascii="Times New Roman" w:eastAsia="Times New Roman" w:hAnsi="Times New Roman" w:hint="default"/>
        </w:rPr>
        <w:wordWrap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single"/>
          <w:smallCaps w:val="0"/>
          <w:rFonts w:ascii="Times New Roman" w:eastAsia="Times New Roman" w:hAnsi="Times New Roman" w:hint="default"/>
        </w:rPr>
        <w:t xml:space="preserve">dato: cuando hacemos una doble negación realmente estamos haciendo una afirmación; por ejemplo, si alguna vez escucha la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single"/>
          <w:smallCaps w:val="0"/>
          <w:rFonts w:ascii="Times New Roman" w:eastAsia="Times New Roman" w:hAnsi="Times New Roman" w:hint="default"/>
        </w:rPr>
        <w:t xml:space="preserve">expresión: “No pasa nada”, realmente se debería interpretar como si estuviera pasando de todo o algo. Esto nos conduce a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single"/>
          <w:smallCaps w:val="0"/>
          <w:rFonts w:ascii="Times New Roman" w:eastAsia="Times New Roman" w:hAnsi="Times New Roman" w:hint="default"/>
        </w:rPr>
        <w:t xml:space="preserve">concluir que, si un enunciado está doblemente negado, equivaldría al enunciado afirmado. Lo mismo que “nunca jamas”, “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single"/>
          <w:smallCaps w:val="0"/>
          <w:rFonts w:ascii="Times New Roman" w:eastAsia="Times New Roman" w:hAnsi="Times New Roman" w:hint="default"/>
        </w:rPr>
        <w:t xml:space="preserve">nunca jamas” significaría “siempre”.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single"/>
          <w:smallCaps w:val="0"/>
          <w:rFonts w:ascii="Times New Roman" w:eastAsia="Times New Roman" w:hAnsi="Times New Roman" w:hint="default"/>
        </w:rPr>
        <w:wordWrap w:val="0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57664109946.png"></Relationship><Relationship Id="rId6" Type="http://schemas.openxmlformats.org/officeDocument/2006/relationships/image" Target="media/fImage194237128661.png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630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