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Realización de la AP01-AA1-EV01 de la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Empresa: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Representante legal: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Dana Vanessa Torres Hernández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Contacto: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(+57) 319-503-8826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Planteamiento -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Este primer apartado,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fase 1 identificación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proyecto que trabaje en la 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donde se pretenda mejorar sus procesos de control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negociación, a nivel general, y se desarrolle un mejor esquema de toma de decisiones: uno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y eficaz. En principio, son dos objetivos fundamentales para lograr la formulación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sistema en su conjunto: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negocio, por ejemplo; y que, incluso, antes sea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 cliente el que pueda lograr ser lo suficientemente interactivo con el sitio web, el cual se plantea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también, como para tener la facilidad de cotizar lo que desea comprar y bajo qué medidas;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así, finalmente, ultimar una orden de compra bajo sus propios parámetros definidos (sin ningún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mismos. Adicionalmente, con un registro de ventas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computarizado, mucho más visual y medible, podemos tener una mejor interpretación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recopilada; por ejemplo, 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aumentar los topes o el stock de ese 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(para replantearse la idea de, quizás, disminuir el número de ellos en stock o, quizás también, crear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para promocionar más sus ventas: hacer días de descuento o 2x1, etc); en últimas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sistema serviría para tomar, a partir de ese registro más dinámico de la información,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decisiones de inversión y recrear mejores 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