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1. Identificar el ámbito empresarial: </w:t>
      </w:r>
      <w:r>
        <w:rPr>
          <w:spacing w:val="0"/>
          <w:vertAlign w:val="baseline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La solución informatica, sobre una necesidad (o varias), se </w:t>
      </w:r>
      <w:r>
        <w:rPr>
          <w:spacing w:val="0"/>
          <w:vertAlign w:val="baseline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desarrollará sobre la empresa </w:t>
      </w:r>
      <w:r>
        <w:rPr>
          <w:spacing w:val="0"/>
          <w:vertAlign w:val="baseline"/>
          <w:i w:val="1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“Vidriería y Ornamentación Emanuel”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, empresa situada dentro de la </w:t>
      </w:r>
      <w:r>
        <w:rPr>
          <w:spacing w:val="0"/>
          <w:vertAlign w:val="baseline"/>
          <w:i w:val="0"/>
          <w:b w:val="0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industria manufacturera y que trabaja en la elaboración de todo tipo de decoraciones y acabados.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2. Diseñar Instrumentos: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ver, en principio, con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entrevistas;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 conocido como: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Estructura Embudo.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Adicionalmente, se llevarán a cabo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encuestas.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representantes legales,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las que serán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La totalidad de los empleados es: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dos (2).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Misión: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“En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Vidríeria y Ornamentación Emanuel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Visión: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“El trabajo de la empresa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Vidriería Y Ornamentación Emanuel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es ser reconocidos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nivel Nacional”.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Situación o situaciones problemas (según datos recolectados):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 partir de la entrevista principal,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que fue grabada por video, se pudieron extraer varias opiniones propias de la representante legal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entrevistada; partiremos de una citación textual de sus propias palabras para identificar posibles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debilidades o puntos de mejora que pueden ser trabajados, más adelante y para un bien, dentro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sistema de información que será desarrollado para la empresa. Esas posibles debilidades son: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“No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todas las veces se encuentran todos los materiales requeridos con el mismo proveedor para la elaboración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los productos pedidos...”, “No hay un seguimiento de las redes sociales que se lleve a cabo diariamente...”,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“Se puede filtrar información confidencial de la empresa...”, “Sería ideal reemplazar el sistema tradicional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 conteo y control de mercancia por uno más actualizado...”.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0"/>
          <w:szCs w:val="20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spacing w:val="0"/>
          <w:vertAlign w:val="baseline"/>
          <w:i w:val="1"/>
          <w:b w:val="1"/>
          <w:color w:val="141414"/>
          <w:position w:val="0"/>
          <w:sz w:val="22"/>
          <w:szCs w:val="22"/>
          <w:highlight w:val="none"/>
          <w:smallCaps w:val="0"/>
          <w:rFonts w:ascii="Times New Roman" w:eastAsia="Times New Roman" w:hAnsi="Times New Roman" w:hint="default"/>
        </w:rPr>
        <w:t xml:space="preserve">Vidriería y Ornamentación Emanuel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, por medio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ciertos recursos informativos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encuestas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entrevistas,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se establece que existen definitivamente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áreas de mejora o situaciones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problema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>problema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 son:  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1. Falta de un mayor alcance e interacción de la empresa para mantener y/o ampliar su circulo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2. Falta de un sistema robusto de conteo y monitereo de la rotación de la mercancia en la empresa.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</w:t>
      </w:r>
      <w:r>
        <w:rPr>
          <w:i w:val="0"/>
          <w:b w:val="1"/>
          <w:color w:val="auto"/>
          <w:sz w:val="24"/>
          <w:szCs w:val="24"/>
          <w:rFonts w:ascii="Times New Roman" w:eastAsia="Times New Roman" w:hAnsi="Times New Roman" w:hint="default"/>
        </w:rPr>
        <w:t>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1. ¿Está de acuerdo con que el proceso de conteo de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mercancía e inventario debe ser automatizado y, deseablemente, computarizado?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¿Está de acuerdo con que los procesos de facturación deben ser automatizados y, deseablemente,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computarizados?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¿Está de acuerdo con que se desarrollen estrategias de venta, promoción y/o provisión a partir de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rotación que se evidencie en cada una de las mercancías?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¿Está de acuerdo con ser notificado cada vez que la mercancía esté ad portas de agotarse?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¿Está de acuerdo con que el alcance de la empresa no debe limitarse al mercado local; sino,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enfocarse también al mercado nacional?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  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BB4924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1EDDF81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2DECB07B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343662E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44969270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1F682B2B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55EA1442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