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AP01-AA1-EV04: Levantamiento del mapa de procesos del sistema en desarrollo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de estudio: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“Vidriería y Ornamentación Emanuel”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por medio de sus representantes legales, ha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identificado que; en su ambiente de trabajo, existe la necesidad de implementar un sistema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información que pretenda automatizar y hacer más eficiente los procesos de inventario y facturación.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estima que, si se trabaja por agilizar mucho más estos procesos, al punto de idealmente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computarizarlos, se logrará tener un control real sobre la existencia de la mercancía y sobre su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rotación.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se ha decidido trabajar en la creación de todo un sistema financiero que se apoye o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sustente en una base de datos para clientes y proveedores; pero, sobre todo, que la base de datos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incorpore también un registro completo de todos los movimientos reflejados en la mercancía, salidas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entradas: todo esto con la intención de poder tener una mayor gestión contable, comercial y financiera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empresa.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Según la recolección de datos que tuvimos, a partir de las entrevistas y encuestas hechas,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identificaron las siguientes actividades: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1: Identificación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Recursos Humanos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Know how &amp; capacitaciones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>Compras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Recepción de mercancias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Transformación de la materia prima (valor agregado)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de Inventarios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Manejo de redes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>Ventas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financiera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comercial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2: Inventario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Know how &amp; capacitaciones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Compras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Recepción de mercancias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Gestión de Inventarios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5. Transformación de la materia prima (valor agregado)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6. Manejo de redes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7. Ventas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8. Gestión financiera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9. Gestión comercial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3: Clasificación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Estratégicos: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left="2000" w:right="0" w:firstLine="40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Compras, 2. Gestión de Inventarios, 3. Gestión comercial.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Misionales: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Recepción de mercancías, 2. Manejo de redes, 3. Ventas.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de Apoyo: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Know how &amp; capacitaciones, 2. Transformación de la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prima, 3. Gestión financiera.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4: Mapa de procesos de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4133849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0706/fImage549531090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134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type w:val="continuous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495310909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