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tbl>
      <w:tblID w:val="0"/>
      <w:tblPr>
        <w:tblpPr w:leftFromText="1" w:topFromText="1" w:vertAnchor="text" w:tblpX="-1087" w:tblpY="375"/>
        <w:tblCellMar>
          <w:left w:w="0" w:type="dxa"/>
          <w:top w:w="0" w:type="dxa"/>
          <w:right w:w="0" w:type="dxa"/>
          <w:bottom w:w="0" w:type="dxa"/>
        </w:tblCellMar>
        <w:tblW w:w="11159" w:type="dxa"/>
        <w:tblLook w:val="000600" w:firstRow="0" w:lastRow="0" w:firstColumn="0" w:lastColumn="0" w:noHBand="1" w:noVBand="1"/>
        <w:tblLayout w:type="fixed"/>
      </w:tblPr>
      <w:tblGrid>
        <w:gridCol w:w="1388"/>
        <w:gridCol w:w="5378"/>
        <w:gridCol w:w="4393"/>
      </w:tblGrid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single" w:color="000000" w:sz="8"/>
              <w:left w:val="single" w:color="000000" w:sz="8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i w:val="1"/>
                <w:b w:val="1"/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1"/>
                <w:b w:val="1"/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>Entradas</w:t>
            </w:r>
          </w:p>
        </w:tc>
        <w:tc>
          <w:tcPr>
            <w:tcW w:type="dxa" w:w="5378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i w:val="1"/>
                <w:b w:val="1"/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1"/>
                <w:b w:val="1"/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>Procedimientos</w:t>
            </w:r>
          </w:p>
        </w:tc>
        <w:tc>
          <w:tcPr>
            <w:tcW w:type="dxa" w:w="4393"/>
            <w:vAlign w:val="top"/>
            <w:tcBorders>
              <w:bottom w:val="single" w:color="000000" w:sz="8"/>
              <w:left w:val="single" w:color="000000" w:sz="4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i w:val="1"/>
                <w:b w:val="1"/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1"/>
                <w:b w:val="1"/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>Salidas</w:t>
            </w:r>
          </w:p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Login Users</w:t>
            </w:r>
          </w:p>
        </w:tc>
        <w:tc>
          <w:tcPr>
            <w:tcW w:type="dxa" w:w="5378"/>
            <w:vAlign w:val="top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Funciones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A. Registro inicial de usuarios: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La representante legal de la empresa es quién le dará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apertura al sistema de información desarrollado. Su registro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y posterior funciones se limitan a las de un "superusuario";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es decir, será la única usuaria que podrá determinar las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funciones de los demás usuarios al ser registrados dentro del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sistema de información. Dicho lo anterior, debe asegurarse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entonces el desarrollador del sistema (mi persona) de hacer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entrega inicial, y posterior asesoria en persona, directamente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con el representante legal de la empresa. Esto último con el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fin de que sea la primera persona registrada la que sea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designada como "superusuario" por medio de la asignación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 un nombre de usuario y una contraseña (solicitadas en la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primera página de navegación del sistema en cuestión).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Estando ya registrado nuestro "superusuario", ese mismo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administrador será redirigido a una página de presentación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inicial de la empresa: desde allí podrá observer todas las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opciones iniciales de navegación a su sistema de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información; pero, puntualmente, nos interesaría entrar a la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etiqueta de la barra de menús llamada: "Usuarios". Es desde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ahí donde nuestro "superusuario" podrá crear nuevos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usuarios,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a los cuales se les asigna un nombre y una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contraseña también; sin embargo, estos nuevos usuarios, ya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pasarían a ser dependientes (o más bien sus funciones) a las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funciones del "superusuario" en cuestión. El administrador,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por medio de un formulario, debe asignarles unos roles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especificos y unas limitaciones precisas a cada nuevo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usuario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creado.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Manipular: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Luego del dialogo entre un interesado (un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usuario) y el administrador del sistema de información; éste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último, por medio de un común acuerdo entre ambos, podría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hacer cambios en nombres de usuario y contraseñas; o bien,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en funciones, límites y facultades con relación a un usuario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en cuestión.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Eliminar: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La eliminación de un usuario se rige a las normas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internas propias a la empresa; sin embargo, quien toma la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decisión final de esto es el mismo administrador.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Consultar: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La revisión de la base de datos donde se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encuentran todos los usuarios registrados sólo puede ser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manipulada por el "superusuario" o administrador del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sistema de información.</w:t>
            </w:r>
          </w:p>
        </w:tc>
        <w:tc>
          <w:tcPr>
            <w:tcW w:type="dxa" w:w="4393"/>
            <w:vAlign w:val="top"/>
            <w:vMerge w:val="restart"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A. Registro inicial de usuarios: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El "superusuario" seleccionado, dentro del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sistema de información, es el único quien tiene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las facultades necesarias para poder crear,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manipular y/o eliminar a los usuarios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inmediatamente registrados después de él.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Dicho lo anterior, es el mismo administrador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quién da la última palabra para asignar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nombres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 usuarios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y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contraseñas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a las demás personas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vinculadas al sistema. Esta persona, el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"superusuario", es quien supervisa y autoriza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también modificaciones a los datos ingresados al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sistema de información. Los reportes al final de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un periodo de tiempo, donde se procesan estos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datos ingresados para posteriormente darles,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como salida, una interpretación informativa y de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interés para la toma de decisiones de la empresa;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también son vigilados y avalados, en última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instancia, por el administrador o "superusuario"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del sistema de información en cuestión.</w:t>
            </w:r>
          </w:p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tcBorders>
              <w:bottom w:val="none" w:color="auto"/>
              <w:left w:val="single" w:color="000000" w:sz="4"/>
              <w:right w:val="single" w:color="000000" w:sz="8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tcBorders>
              <w:bottom w:val="none" w:color="auto"/>
              <w:left w:val="single" w:color="000000" w:sz="4"/>
              <w:right w:val="single" w:color="000000" w:sz="8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The Database</w:t>
            </w:r>
          </w:p>
        </w:tc>
        <w:tc>
          <w:tcPr>
            <w:tcW w:type="dxa" w:w="5378"/>
            <w:vAlign w:val="top"/>
            <w:vMerge w:val="restart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B. Registro inicial de la base de datos: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La estructuración y creación de la base de datos, para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guardar la información concerniente a los procesos de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inventario y facturación, también será un trabajo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desarrollado por el sistema de información; sin embargo, las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manipulaciones, consultas y/o eliminación de la información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ahí relacionada, ese conjunto de funcionalidades, serán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facultades propias y únicas del administrador o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"superusuario" del sistema de información.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Manipular: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Estando ya el administrador del sistema de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información situado sobre la base de datos (que se encuentra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en una pestaña del menú inicial del sistema de información),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éste tendrá a su disposición un sin número de opciones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posibles para hacer manipulaciones directas sobre el registro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 la mercancia en inventario y/o facturación: cambiar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números de referencia, actualizar cantidades en existencia y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hacer variaciones en los precios fijos, etc.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Eliminar: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Es el administrador o "superusuario" del sistema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 información, y el único, quien podrá eliminar números de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referencia, cantidades en existencia; o, en última instancia,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la existencia en sí de una mercancia en especifica; esto en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caso que exista un motivo que lo justifique y/o sea una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acción requerida por una realidad al interior de la empresa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con relación al producto en cuestión. En todo caso, es ideal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que este tipo de decisiones se consulten conjuntamente con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todos los miembros de la empresa.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Consultar: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De nuevo, es el administrador del sistema quien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tiene acceso a la base de datos para consultar información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ahí relacionada, y proporcionada, por usuarios en los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procesos de inventario y facturación.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Algo para puntualizar: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En la base de datos también se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contempla la información relacionada a los usuarios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vinculados a la empresa; dicho lo anterior, puede suponer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que el administrador del sistema de información o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"superusuario" tiene las mismas facultades en el tratamiento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del manejo de la información del personal de trabajo como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la tiene con el inventario. Es decir, el tratamiento y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limitaciones, sobre el manejo de ambas informaciones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(registro de usuarios y de mercancias en base de datos), es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exactamente igual.</w:t>
            </w:r>
          </w:p>
        </w:tc>
        <w:tc>
          <w:tcPr>
            <w:tcW w:type="dxa" w:w="4393"/>
            <w:vAlign w:val="top"/>
            <w:vMerge w:val="restart"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B. Registro inicial de la base de datos: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La base de datos desarrollada, por medio del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sistema de información, nos permitirá reflejar la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siguiente información: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El registro del administrador del sistema de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información o "superusuario"; el cual, cuenta con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todos los accesos habilitados para el manejo del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sistema de información.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El registro de los usuarios vinculados a la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empresa junto con la información relacionada 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sus funciones particulares; además de su nombre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 usuario y contraseña.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El registro de la mercancia en existencia junto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con sus números de referencia. </w:t>
            </w:r>
          </w:p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tcBorders>
              <w:bottom w:val="none" w:color="auto"/>
              <w:left w:val="single" w:color="000000" w:sz="4"/>
              <w:right w:val="single" w:color="000000" w:sz="8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tcBorders>
              <w:bottom w:val="none" w:color="auto"/>
              <w:left w:val="single" w:color="000000" w:sz="4"/>
              <w:right w:val="single" w:color="000000" w:sz="8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tcBorders>
              <w:bottom w:val="none" w:color="auto"/>
              <w:left w:val="single" w:color="000000" w:sz="4"/>
              <w:right w:val="single" w:color="000000" w:sz="8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tcBorders>
              <w:bottom w:val="none" w:color="auto"/>
              <w:left w:val="single" w:color="000000" w:sz="4"/>
              <w:right w:val="single" w:color="000000" w:sz="8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tcBorders>
              <w:bottom w:val="none" w:color="auto"/>
              <w:left w:val="single" w:color="000000" w:sz="4"/>
              <w:right w:val="single" w:color="000000" w:sz="8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tcBorders>
              <w:bottom w:val="none" w:color="auto"/>
              <w:left w:val="single" w:color="000000" w:sz="4"/>
              <w:right w:val="single" w:color="000000" w:sz="8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tcBorders>
              <w:bottom w:val="none" w:color="auto"/>
              <w:left w:val="single" w:color="000000" w:sz="4"/>
              <w:right w:val="single" w:color="000000" w:sz="8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tcBorders>
              <w:bottom w:val="none" w:color="auto"/>
              <w:left w:val="single" w:color="000000" w:sz="4"/>
              <w:right w:val="single" w:color="000000" w:sz="8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tcBorders>
              <w:bottom w:val="none" w:color="auto"/>
              <w:left w:val="single" w:color="000000" w:sz="4"/>
              <w:right w:val="single" w:color="000000" w:sz="8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Inventory and </w:t>
            </w: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billing in the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database</w:t>
            </w:r>
          </w:p>
        </w:tc>
        <w:tc>
          <w:tcPr>
            <w:tcW w:type="dxa" w:w="5378"/>
            <w:vAlign w:val="top"/>
            <w:vMerge w:val="restart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C. Inventario y facturación en la base de datos.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Es preciso decir que; antes de consultar, modificar o eliminar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cuaquier información de la base de datos en relación al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inventario y facturación (trabajo que sólo concierne al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administrador del sistema de información o "superusuario"),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es preciso introducir esa información primero al inventario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en cuestión; en lo cual, sí está facultado cualquier usuario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designado vinculado a la empresa. Profundicemos más sobre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esto.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Registro en inventario: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Los usuarios designados (bodega)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tendrán la función de registrar los datos del inventario, por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medio de un formulario elaborado especialmente para esto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(distinto al de caja), toda vez que quieran ingresar alguna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información adicional al mismo; y, claro, tras validar su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usuario primeramente.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Registro en caja: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Los usuarios designados (caja) tendrán la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función de registrar las ventas y devoluciones de la empresa,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por medio de un formulario elaborado especialmente para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esto (distinto al de bodega), toda vez que quieran ingresar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alguna información adicional al mismo; y, claro, tras validar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su usuario también primeramente.</w:t>
            </w:r>
          </w:p>
        </w:tc>
        <w:tc>
          <w:tcPr>
            <w:tcW w:type="dxa" w:w="4393"/>
            <w:vAlign w:val="top"/>
            <w:vMerge w:val="restart"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C. Inventario y facturación en la base de datos.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Sobre los formularios: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Las fechas son reflejadas automaticamente por el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sistema de información.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Los números de referencia de las mercancias, y el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nombre de las mismas, son designados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internamente por la empresa; adicionalmente, la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organización de esta información en la base de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datos, en función a facilitar busquedas avanzadas,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contará con listas desplegables y filtros (ya sea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para insumos o para productos listos para la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venta).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La divisa con la que se llevarán a cabo los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registros de los procesos contables, dentro del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sistema de información, será el peso colombiano.</w:t>
            </w:r>
          </w:p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tcBorders>
              <w:bottom w:val="none" w:color="auto"/>
              <w:left w:val="single" w:color="000000" w:sz="4"/>
              <w:right w:val="single" w:color="000000" w:sz="8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tcBorders>
              <w:bottom w:val="none" w:color="auto"/>
              <w:left w:val="single" w:color="000000" w:sz="4"/>
              <w:right w:val="single" w:color="000000" w:sz="8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tcBorders>
              <w:bottom w:val="none" w:color="auto"/>
              <w:left w:val="single" w:color="000000" w:sz="4"/>
              <w:right w:val="single" w:color="000000" w:sz="8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tcBorders>
              <w:bottom w:val="none" w:color="auto"/>
              <w:left w:val="single" w:color="000000" w:sz="4"/>
              <w:right w:val="single" w:color="000000" w:sz="8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tcBorders>
              <w:bottom w:val="none" w:color="auto"/>
              <w:left w:val="single" w:color="000000" w:sz="4"/>
              <w:right w:val="single" w:color="000000" w:sz="8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Reports</w:t>
            </w:r>
          </w:p>
        </w:tc>
        <w:tc>
          <w:tcPr>
            <w:tcW w:type="dxa" w:w="5378"/>
            <w:vAlign w:val="top"/>
            <w:vMerge w:val="restart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D. Reportes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El administrador del sistema o "superusuario", al hacer login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como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usuario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en el sistema, también puede disponer, dentro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 las opciones del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menú principal,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la capacidad de generar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reportes; especialmente, serían reportes en relación a los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indicadores financieros definidos dentro del sistema de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información desarrollado. Es decir, para nuestro caso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puntual en estudio, la empresa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Vidríeria y ornamentación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Emanuel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podría crear reportes con la formula sobre la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rotación de inventario;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y, a partir de esa información, tomar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mejores decisiones de inversión. Los reportes no pueden ser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alterados ni eliminados y, adicionalmente, sólo pueden ser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consultados (dentro del sistema) por el administrador del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sistema en cuestión.  </w:t>
            </w:r>
          </w:p>
        </w:tc>
        <w:tc>
          <w:tcPr>
            <w:tcW w:type="dxa" w:w="4393"/>
            <w:vAlign w:val="top"/>
            <w:vMerge w:val="restart"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D. Reportes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Los reportes generados, por el sistema de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información,pueden ser evaluados conjuntamente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con todos los usuarios vinculados a la empresa;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estos reportes, idealmente, serían discutidos en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reuniones designadas, de manera fija, cada cierto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periodo de tiempo (mensual y/o anualmente).</w:t>
            </w:r>
          </w:p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vMerge/>
            <w:tcBorders>
              <w:bottom w:val="none" w:color="auto"/>
              <w:left w:val="single" w:color="000000" w:sz="4"/>
              <w:right w:val="single" w:color="000000" w:sz="8"/>
              <w:top w:val="single" w:color="000000" w:sz="8"/>
            </w:tcBorders>
          </w:tcPr>
          <w:p/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tcBorders>
              <w:bottom w:val="none" w:color="auto"/>
              <w:left w:val="single" w:color="000000" w:sz="4"/>
              <w:right w:val="single" w:color="000000" w:sz="8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tcBorders>
              <w:bottom w:val="none" w:color="auto"/>
              <w:left w:val="single" w:color="000000" w:sz="4"/>
              <w:right w:val="single" w:color="000000" w:sz="8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tcBorders>
              <w:bottom w:val="none" w:color="auto"/>
              <w:left w:val="single" w:color="000000" w:sz="4"/>
              <w:right w:val="single" w:color="000000" w:sz="8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tcBorders>
              <w:bottom w:val="none" w:color="auto"/>
              <w:left w:val="single" w:color="000000" w:sz="4"/>
              <w:right w:val="single" w:color="000000" w:sz="8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tcBorders>
              <w:bottom w:val="none" w:color="auto"/>
              <w:left w:val="single" w:color="000000" w:sz="4"/>
              <w:right w:val="single" w:color="000000" w:sz="8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none" w:color="auto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tcBorders>
              <w:bottom w:val="none" w:color="auto"/>
              <w:left w:val="single" w:color="000000" w:sz="4"/>
              <w:right w:val="single" w:color="000000" w:sz="8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458"/>
          <w:hidden w:val="0"/>
        </w:trPr>
        <w:tc>
          <w:tcPr>
            <w:tcW w:type="dxa" w:w="1388"/>
            <w:vAlign w:val="top"/>
            <w:tcBorders>
              <w:bottom w:val="single" w:color="000000" w:sz="8"/>
              <w:left w:val="single" w:color="000000" w:sz="8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378"/>
            <w:vAlign w:val="top"/>
            <w:vMerge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/>
        </w:tc>
        <w:tc>
          <w:tcPr>
            <w:tcW w:type="dxa" w:w="4393"/>
            <w:vAlign w:val="top"/>
            <w:tcBorders>
              <w:bottom w:val="single" w:color="000000" w:sz="8"/>
              <w:left w:val="single" w:color="000000" w:sz="4"/>
              <w:right w:val="single" w:color="000000" w:sz="8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0"/>
          <w:szCs w:val="2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AP01-AA1-EV07 - Identificación del proceso de software para el proyecto de desarrollo en curso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42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