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AP02-AA3-EV02 - Especificación de requerimientos con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Especificación de requerimientos del sistema de información e informe de análisis.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DESCRIPCIÓN DE LA EVIDENCIA.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conocimiento que el aprendiz ha adquirido de la empresa en estudio y utilizando los conceptos y técnicas aprendidos en la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actividad de proyecto número uno deberá determinar las especificaciones para 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lo anterior el aprendiz se deberá apoyar en el material de apoyo en relación con los siguientes elementos: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como los datos y operaciones de cada una de las clases utilizadas en UML.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las relaciones existentes entre diferentes modelos.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elementos dato de un objeto (atributos, variables e instancias).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Identificar los objetos que forman partes del modelo.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Para esta evidencia se deben seguir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Construir una definición de Caso de Uso y Diagrama de Clase que se pueda utilizar para representar a un empleado de una compañía. Cada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se define por un número entero ID, un Salario y el número máximo de horas de trabajo por semana.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Los servicios que debe proporcionar deben permitir introducir los datos de un nuevo empleado, visualizar los datos existentes de un nuevo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empleado y capacidad para procesar las operaciones necesarias para dar de alta y de baja en la seguridad social y en los seguros que tenga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contratados la compañía.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el ejercicio anterior, construir los diagramas utilizando la herramienta software Star UML.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i w:val="1"/>
          <w:b w:val="1"/>
          <w:color w:val="00000A"/>
          <w:sz w:val="22"/>
          <w:szCs w:val="22"/>
          <w:rFonts w:ascii="Arial" w:eastAsia="Arial" w:hAnsi="Arial" w:hint="default"/>
        </w:rPr>
        <w:t xml:space="preserve">Diagrama de Casos de Uso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8258810" cy="4279900"/>
            <wp:effectExtent l="0" t="0" r="0" b="0"/>
            <wp:docPr id="6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0389/fImage2102576954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444" cy="4280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wordWrap w:val="1"/>
        <w:autoSpaceDE w:val="1"/>
        <w:autoSpaceDN w:val="1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A"/>
          <w:position w:val="0"/>
          <w:sz w:val="22"/>
          <w:szCs w:val="22"/>
          <w:u w:val="none"/>
          <w:smallCaps w:val="0"/>
          <w:rFonts w:ascii="Arial" w:eastAsia="Arial" w:hAnsi="Arial" w:hint="default"/>
        </w:rPr>
        <w:t xml:space="preserve">Diagrama de Clases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6768465" cy="5301615"/>
            <wp:effectExtent l="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0389/fImage512833790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5302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Diligencie la plantilla descrita a continuación para la identificación de los objetos que componen los diagramas.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8838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004"/>
        <w:gridCol w:w="5834"/>
      </w:tblGrid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single" w:color="000000" w:sz="7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Empleado, Gerente general, Supervisora de medios, Admon.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de recursos humanos, Analista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los Casos de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Uso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número ID, Registro Cargo, Registro Salario,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Registro Hrs. trabajo, Modificar, Eliminar, Login, Seguros,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Crear, Eliminar, Empleado, Salario, Seguro, Horas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trabajo, Busqueda de empleado por ID, Crear, Consultar,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Modificar, Eliminar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del Sistema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Sistema de registro y consulta de empleados Empresa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Vidriería y Ornamentación Emanuel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2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Relación entre los Actores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 Admon. de recursos humanos -&gt; Supervisora de medios -&gt;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Analista -&gt; Gerente general -&gt; Empleado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Nombre de las clases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EmpleadoNuevo, Empleado, Supervisora de redes sociales,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Recursos humanos, Gerente general (Admon) y Analista</w:t>
            </w:r>
          </w:p>
        </w:tc>
      </w:tr>
      <w:tr>
        <w:trPr>
          <w:trHeight w:hRule="atleast" w:val="860"/>
        </w:trPr>
        <w:tc>
          <w:tcPr>
            <w:tcW w:type="dxa" w:w="300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single" w:color="000000" w:sz="7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18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Métodos de cada clase</w:t>
            </w:r>
          </w:p>
        </w:tc>
        <w:tc>
          <w:tcPr>
            <w:tcW w:type="dxa" w:w="5834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7"/>
              <w:left w:val="nil" w:color="auto"/>
              <w:right w:val="single" w:color="000000" w:sz="7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24685" cy="2991485"/>
                  <wp:effectExtent l="0" t="0" r="0" b="0"/>
                  <wp:docPr id="1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robertovelasquezdean/Library/Group Containers/L48J367XN4.com.infraware.PolarisOffice/EngineTemp/20389/fImage307167062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2992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100" w:righ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1943735" cy="886460"/>
                  <wp:effectExtent l="0" t="0" r="0" b="0"/>
                  <wp:docPr id="1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robertovelasquezdean/Library/Group Containers/L48J367XN4.com.infraware.PolarisOffice/EngineTemp/20389/fImage143097278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8870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3: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Elaboración del informe de análisis con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las propuestas de trabajo junto con la interpretación de las necesidades tecnológicas, expuestas en el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informe de requerimientos, de acuerdo con las normas y protocolos del sistema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El informe debe contener: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Análisis DOFA del sistema de información actual. Este análisis además deberá incluir lo siguiente:</w:t>
      </w:r>
    </w:p>
    <w:p>
      <w:pPr>
        <w:bidi w:val="0"/>
        <w:numPr>
          <w:ilvl w:val="0"/>
          <w:numId w:val="7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Diagnóstico y necesidades del hardware, software y servicios informáticos.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Style w:val="PO38"/>
        <w:tblW w:w="13006" w:type="dxa"/>
        <w:tblLook w:val="0004A0" w:firstRow="1" w:lastRow="0" w:firstColumn="1" w:lastColumn="0" w:noHBand="0" w:noVBand="1"/>
        <w:shd w:val="clear"/>
      </w:tblPr>
      <w:tblGrid>
        <w:gridCol w:w="6503"/>
        <w:gridCol w:w="6503"/>
      </w:tblGrid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DEBILIDADES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AMENAZAS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Falta de un inventario digital que permita llevar un mayor control y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orden.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Falta de apoyo tecnológico para llevar las cuentas de la empresa (lo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que se compra, lo que se vende, los clientes y los distribuidores).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Falta de factura electrónica.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4. Optimización de página web y redes sociales.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Alza en los materiales tras la pandemia y algunos bloqueos del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Paro.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Incremento del IVA en algunos materiales.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Escasez de materiales que se requieren en gran cantidad.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CORREGIR DEBILIDADES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AFRONTAR AMENAZAS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Creación de sistema de información computarizado, acompañado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 una base de datos sofisticada, que permita automatizar y hacer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más eficiente los procesos de inventario y facturación.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El sistema de información se elaborará a partir de un aplicativo web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que servirá, también, como medio o plataforma virtual para dar acceso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 clientes (y potenciales), contactar con la empresa y hacer encargos.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Considerar la idea de comprar el material a vendedores y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productores minoristas también, que la experiencia de compra sea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más cálida y flexible y que estén ubicados más cerca de la compañia.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Si es posible, ante el incremento generalizado del precio de algunos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materiales y/o ante escasez de los mismos, trate de considerar la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compra de materiales sustitutos a ellos que respondan de igual forma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 la solución de una necesidad.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FORTALEZAS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OPORTUNIDADES</w:t>
            </w:r>
          </w:p>
        </w:tc>
      </w:tr>
      <w:tr>
        <w:trPr>
          <w:trHeight w:hRule="atleast" w:val="1290"/>
        </w:trPr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Reconocimiento de la empresa en el sector de Kennedy.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Diversidad de servicios y áreas de trabajo.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Precios módicos.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Diversas formas de llegar a diferentes públicos por medio de las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redes sociales y/o diferentes plataformas.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Alcance en nuevos mercados que puedan permitir mejoras en la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situación económica.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Crecimiento en otras áreas afines, donde ofrecemos diferentes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productos hechos con vidrios, madera, aluminio, entre otros.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MANTENER FORTALEZAS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ACCIONES PARA EXPLOTAR OPORTUNIDADES</w:t>
            </w:r>
          </w:p>
        </w:tc>
      </w:tr>
      <w:tr>
        <w:trPr/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Continue ofreciendo un buen servicio al cliente local.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Mantenga capacitado técnicamente al personal de trabajo.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3. Trate siempre de ofrecer la mejor relación costo-beneficio del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>mercado.</w:t>
            </w:r>
          </w:p>
        </w:tc>
        <w:tc>
          <w:tcPr>
            <w:tcW w:type="dxa" w:w="650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1. Trabaje en el aplicativo web para mejorar la experiencia de usuario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desde la comodidad de su casa, más en estos tiempos de pandemia.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ind w:right="0" w:left="0" w:firstLine="0"/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2. Insista en tener el reconocimiento que tiene, dentro de Kennedy, en </w:t>
            </w:r>
            <w:r>
              <w:rPr>
                <w:shadow w:val="0"/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otras localidades de Bogotá y, porqué no, a nivel nacional.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40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2. Identificación de las oportunidades de mejoramiento de acuerdo al análisis de los requerimientos como se muestra en la siguiente tabla: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3. Elaboración del plan de trabajo con base en las oportunidades de mejora. El cual debe contener: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El nombre de la oportunidad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Software para el control de inventarios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Objetivo general y específicos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General: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partir del análisis y diseño, desarrollar un aplicativo Web que tenga como objetivo principal la gestión y control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inventarios, de la manera más eficiente posible, sobre la totalidad de los materiales y equipos para su operación; llevando a cabo así, una mejor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optimización en la toma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decisiones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interior de la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Objetivo Especifico: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robusto de conteo y monitoreo de la mercancia que tiene la empresa y de la rotación que hay en ella.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Mejorar el sistema de control interno, mediante los conceptos teóricos y experiencias de la práctica, para que resulte eficiente y permita la entrada,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permanencia y salida oportuna de materiales y equipos.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 un sistema de facturación automatizado.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Vigilar el sistema de inventarios: establecer qué actores o empleados de la empresa tienen acceso directo al control y manipulación interna de él.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Justificación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 usted se adueña de más detalles en el proceso de administración de los inventarios, usted podrá analizar mejor la información que posee y eso le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permitirá una mejor toma de decisiones y planeación. Como resultado, los beneficios se verán reflejados en mejores plusvalias en ventas,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mejores contratos en términos de relación costo-beneficio con proveedores y en una mejor percepción sobre la intención de consumo del cliente.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- Cronograma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Levantamiento de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Organización de la Información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Análisis y busqueda de áreas de mejora por medio de la información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Busqueda de soluciones por medio de requerimientos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Diseño y presentación inicial de sistema de soluciones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Desarrollo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Implementación de aplicativo o software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Parametrización de información de la empresa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Testeo: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aplicativo en modo prueba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Entrega final del software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- Recursos: físicos, humanos, financieros, otros.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Humanos: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personal técnico capacitado para uso de tecnologías y uso de equipos móviles. Soporte técnico de software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programación.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Recursos Físicos: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requieren equipos móviles y fijos compatibles con el software diseñado.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Recurso Financiero: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requiere este recurso para actualización de equipos y compra de algunos para dotar a todos los usuarios que intervienen. </w:t>
      </w:r>
    </w:p>
    <w:sectPr>
      <w:headerReference w:type="default" r:id="rId9"/>
      <w:pgSz w:w="15840" w:h="12240" w:orient="landscape"/>
      <w:pgMar w:top="1701" w:left="1417" w:bottom="1701" w:right="1417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  <w:tbl>
    <w:tblID w:val="0"/>
    <w:tblPr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CellMar>
        <w:left w:w="0" w:type="dxa"/>
        <w:top w:w="0" w:type="dxa"/>
        <w:right w:w="0" w:type="dxa"/>
        <w:bottom w:w="0" w:type="dxa"/>
      </w:tblCellMar>
      <w:tblW w:w="9001" w:type="dxa"/>
      <w:tblInd w:w="-10" w:type="dxa"/>
      <w:tblLook w:val="000400" w:firstRow="0" w:lastRow="0" w:firstColumn="0" w:lastColumn="0" w:noHBand="0" w:noVBand="1"/>
      <w:tblLayout w:type="fixed"/>
    </w:tblPr>
    <w:tblGrid>
      <w:gridCol w:w="1844"/>
      <w:gridCol w:w="7157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66" w:type="dxa"/>
          </w:tcMar>
          <w:vAlign w:val="center"/>
          <w:tcBorders>
            <w:bottom w:val="single" w:color="000001" w:sz="4"/>
            <w:left w:val="single" w:color="000001" w:sz="4"/>
            <w:right w:val="single" w:color="000001" w:sz="6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3405" cy="573405"/>
                <wp:effectExtent l="0" t="0" r="0" b="0"/>
                <wp:docPr id="4" name="image2.jpg" descr="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/Users/robertovelasquezdean/Library/Group Containers/L48J367XN4.com.infraware.PolarisOffice/EngineTemp/20389/image1.jp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" cy="574040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5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cMar>
            <w:left w:w="51" w:type="dxa"/>
          </w:tcMar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A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b w:val="1"/>
              <w:color w:val="00000A"/>
              <w:sz w:val="21"/>
              <w:szCs w:val="21"/>
              <w:rFonts w:ascii="Calibri" w:eastAsia="Calibri" w:hAnsi="Calibri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1"/>
              <w:szCs w:val="21"/>
              <w:rFonts w:ascii="Calibri" w:eastAsia="Calibri" w:hAnsi="Calibri" w:hint="default"/>
            </w:rPr>
            <w:wordWrap w:val="1"/>
            <w:autoSpaceDE w:val="1"/>
            <w:autoSpaceDN w:val="1"/>
          </w:pPr>
          <w:r>
            <w:rPr>
              <w:color w:val="000000"/>
              <w:sz w:val="21"/>
              <w:szCs w:val="21"/>
              <w:rFonts w:ascii="Calibri" w:eastAsia="Calibri" w:hAnsi="Calibri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A"/>
        <w:sz w:val="21"/>
        <w:szCs w:val="21"/>
        <w:rFonts w:ascii="Calibri" w:eastAsia="Calibri" w:hAnsi="Calibri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129697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1">
    <w:multiLevelType w:val="hybridMultilevel"/>
    <w:nsid w:val="2F000001"/>
    <w:tmpl w:val="3BCA47FC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2">
    <w:multiLevelType w:val="hybridMultilevel"/>
    <w:nsid w:val="2F000002"/>
    <w:tmpl w:val="433C20FB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3">
    <w:multiLevelType w:val="multilevel"/>
    <w:nsid w:val="2F000003"/>
    <w:tmpl w:val="4699722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hybridMultilevel"/>
    <w:nsid w:val="2F000004"/>
    <w:tmpl w:val="2A153119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5">
    <w:multiLevelType w:val="hybridMultilevel"/>
    <w:nsid w:val="2F000005"/>
    <w:tmpl w:val="3B4A86D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6">
    <w:multiLevelType w:val="hybridMultilevel"/>
    <w:nsid w:val="2F000006"/>
    <w:tmpl w:val="3FD932AD"/>
    <w:lvl w:ilvl="0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2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3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4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5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6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7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  <w:lvl w:ilvl="8">
      <w:lvlJc w:val="left"/>
      <w:numFmt w:val="bullet"/>
      <w:start w:val="1"/>
      <w:suff w:val="tab"/>
      <w:pPr>
        <w:ind w:left="7200" w:hanging="360"/>
        <w:jc w:val="both"/>
      </w:pPr>
      <w:rPr>
        <w:shd w:val="clear"/>
        <w:sz w:val="20"/>
        <w:szCs w:val="20"/>
        <w:u w:val="none"/>
        <w:w w:val="100"/>
      </w:rPr>
      <w:lvlText w:val="-"/>
    </w:lvl>
  </w:abstractNum>
  <w:abstractNum w:abstractNumId="7">
    <w:multiLevelType w:val="multilevel"/>
    <w:nsid w:val="2F000007"/>
    <w:tmpl w:val="328E0CB4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idowControl/>
        <w:wordWrap/>
      </w:pPr>
    </w:pPrDefault>
    <w:rPrDefault>
      <w:rPr>
        <w:color w:val="00000A"/>
        <w:rFonts w:ascii="Calibri" w:eastAsia="Calibri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widowControl/>
      <w:wordWrap/>
    </w:pPr>
    <w:rPr>
      <w:color w:val="262626"/>
      <w:rFonts w:ascii="Cambria" w:eastAsia="Cambria" w:hAnsi="Cambria"/>
      <w:shd w:val="clear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40"/>
      <w:szCs w:val="40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color w:val="E36C09"/>
      <w:rFonts w:ascii="Cambria" w:eastAsia="Cambria" w:hAnsi="Cambria"/>
      <w:shd w:val="clear"/>
      <w:sz w:val="24"/>
      <w:szCs w:val="24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2"/>
      <w:szCs w:val="22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color w:val="F79646"/>
      <w:i/>
      <w:rFonts w:ascii="Cambria" w:eastAsia="Cambria" w:hAnsi="Cambria"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color w:val="F79646"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widowControl/>
      <w:wordWrap/>
    </w:pPr>
    <w:rPr>
      <w:rFonts w:ascii="Cambria" w:eastAsia="Cambria" w:hAnsi="Cambria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0257695481.png"></Relationship><Relationship Id="rId6" Type="http://schemas.openxmlformats.org/officeDocument/2006/relationships/image" Target="media/fImage51283379094.png"></Relationship><Relationship Id="rId7" Type="http://schemas.openxmlformats.org/officeDocument/2006/relationships/image" Target="media/fImage30716706220.png"></Relationship><Relationship Id="rId8" Type="http://schemas.openxmlformats.org/officeDocument/2006/relationships/image" Target="media/fImage14309727844.png"></Relationship><Relationship Id="rId9" Type="http://schemas.openxmlformats.org/officeDocument/2006/relationships/header" Target="header2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jp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60</Lines>
  <LinksUpToDate>false</LinksUpToDate>
  <Pages>8</Pages>
  <Paragraphs>17</Paragraphs>
  <Words>1330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2017-11-21T11:59:00Z</dcterms:modified>
</cp:coreProperties>
</file>