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0" w:type="dxa"/>
          <w:top w:w="0" w:type="dxa"/>
          <w:right w:w="0" w:type="dxa"/>
          <w:bottom w:w="0" w:type="dxa"/>
        </w:tblCellMar>
        <w:tblW w:w="9343" w:type="dxa"/>
        <w:jc w:val="center"/>
        <w:tblLook w:val="000400" w:firstRow="0" w:lastRow="0" w:firstColumn="0" w:lastColumn="0" w:noHBand="0" w:noVBand="1"/>
        <w:tblLayout w:type="fixed"/>
      </w:tblPr>
      <w:tblGrid>
        <w:gridCol w:w="1806"/>
        <w:gridCol w:w="1764"/>
        <w:gridCol w:w="290"/>
        <w:gridCol w:w="2245"/>
        <w:gridCol w:w="285"/>
        <w:gridCol w:w="230"/>
        <w:gridCol w:w="1005"/>
        <w:gridCol w:w="1300"/>
        <w:gridCol w:w="383"/>
        <w:gridCol w:w="3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titulada</w:t>
            </w:r>
          </w:p>
        </w:tc>
        <w:tc>
          <w:tcPr>
            <w:tcW w:type="dxa" w:w="75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</w:tcMar>
            <w:vAlign w:val="center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5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</w:tcMar>
            <w:vAlign w:val="center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8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5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top w:w="15" w:type="dxa"/>
              <w:bottom w:w="15" w:type="dxa"/>
            </w:tcMar>
            <w:vAlign w:val="center"/>
            <w:gridSpan w:val="4"/>
            <w:tcBorders>
              <w:bottom w:val="single" w:color="000000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 AP2. Analizar los procesos y datos del sistema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información.</w:t>
            </w:r>
          </w:p>
        </w:tc>
        <w:tc>
          <w:tcPr>
            <w:tcW w:type="dxa" w:w="12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center"/>
            <w:gridSpan w:val="2"/>
            <w:tcBorders>
              <w:bottom w:val="single" w:color="000001" w:sz="6"/>
              <w:left w:val="single" w:color="000001" w:sz="4"/>
              <w:right w:val="single" w:color="000001" w:sz="4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center"/>
            <w:gridSpan w:val="2"/>
            <w:tcBorders>
              <w:bottom w:val="single" w:color="000001" w:sz="6"/>
              <w:left w:val="single" w:color="000001" w:sz="4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  <w:tc>
          <w:tcPr>
            <w:tcW w:type="dxa" w:w="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8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50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center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AA1. Definir las necesidades  informáticas y tecnológicas para el manejo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información mediante el análisis de especificación de requerimientos, teniendo en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cuenta  las normas, protocolos y  modelos de calidad establecidos por la empresa.</w:t>
            </w:r>
          </w:p>
        </w:tc>
        <w:tc>
          <w:tcPr>
            <w:tcW w:type="dxa" w:w="3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8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50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center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22050103203. Representa el bosquejo de la solución al problema presentado por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 cliente, mediante la elaboración de diagramas de casos de uso, apoyado en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análisis del informe de requerimientos, al confrontar la situación problemática con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 usuario según normas y protocolos de la organización.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22050103205. Elaborar el informe de los resultados del análisis del sistema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información, de acuerdo con los requerimientos del cliente según normas y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protocolos establecidos.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22050100904. Interpretar el diagnóstico de necesidades informáticas, para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determinarlas tecnológicas requeridas en el manejo de la información, de acuerdo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con las normas y protocolos establecidos por la empresa.</w:t>
            </w:r>
          </w:p>
        </w:tc>
        <w:tc>
          <w:tcPr>
            <w:tcW w:type="dxa" w:w="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0"/>
          <w:hidden w:val="0"/>
        </w:trPr>
        <w:tc>
          <w:tcPr>
            <w:tcW w:type="dxa" w:w="18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50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Especificación de requerimientos del sistema de información e informe de análisis.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3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8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evidencia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76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3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80"/>
          <w:hidden w:val="0"/>
        </w:trPr>
        <w:tc>
          <w:tcPr>
            <w:tcW w:type="dxa" w:w="18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5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</w:tcMar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Especificación de requerimientos de sistema de información utilizando las normas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estándares de especificación por medio de casos de uso en UML y las tendencias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tecnológicas del mercado.</w:t>
            </w:r>
            <w:r>
              <w:rPr>
                <w:color w:val="000000"/>
                <w:sz w:val="22"/>
                <w:szCs w:val="22"/>
                <w:highlight w:val="white"/>
                <w:rFonts w:ascii="Calibri" w:eastAsia="Calibri" w:hAnsi="Calibri" w:hint="default"/>
              </w:rPr>
              <w:t xml:space="preserve">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 partir del conocimiento que el aprendiz ha adquirido de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la empresa del sistema en desarrollo el cual deberá entregar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un diagrama de casos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 uso en el programa STAR UML, adquiriendo un aprendizaje por medio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de la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interacción de usuario describiendo los objetos y operaciones en la implementación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 la interfaz y el almacenamiento de los datos dentro de una empresa del sistema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 información.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80"/>
          <w:hidden w:val="0"/>
        </w:trPr>
        <w:tc>
          <w:tcPr>
            <w:tcW w:type="dxa" w:w="18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5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</w:tcMar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Documento en formato Star UML  a partir del ejercicio planteado en la guía de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aprendizaje con relación a diagramas de casos de uso.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20"/>
          <w:hidden w:val="0"/>
        </w:trPr>
        <w:tc>
          <w:tcPr>
            <w:tcW w:type="dxa" w:w="18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C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5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6" w:type="dxa"/>
            </w:tcMar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Realiza el informe de requerimientos, relacionado con los diferentes procesos de la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organización, de acuerdo con las normas y protocolos establecidos.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Utiliza herramientas case para elaborar diagramas de casos de uso, que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representen el estado actual de los componentes del sistema, apoyado en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análisis del informe de requerimientos.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Elabora propuestas de trabajo, de acuerdo con la interpretación de las necesidades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tecnológicas, expuestas en el informe de requerimientos, según normas y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protocolos de la empresa.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Realiza el informe de análisis del sistema de información requerido, presentando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estado actual de la organización, y proponiendo alternativas de solución,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acuerdo con las normas y protocolos establecidos.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Elabora los diagramas uml, de acuerdo con las características de cada uno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ellos, basado en los requerimientos del cliente, utilizando herramientas case.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Interpreta el diagnóstico de necesidades informáticas tanto de hardware como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software, para determinar las tecnologías requeridas en la organización, siguiendo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las normas y protocolos establecidos para este fin.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Modela la base de datos, a partir de la valoración de la información obtenida en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diccionario de datos y el análisis de los procesos, de acuerdo con las necesidades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del sistema de información requerido.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8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76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6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Lista de chequeo</w:t>
            </w:r>
          </w:p>
        </w:tc>
        <w:tc>
          <w:tcPr>
            <w:tcW w:type="dxa" w:w="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Rubrica</w:t>
            </w:r>
          </w:p>
        </w:tc>
        <w:tc>
          <w:tcPr>
            <w:tcW w:type="dxa" w:w="5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</w:tc>
        <w:tc>
          <w:tcPr>
            <w:tcW w:type="dxa" w:w="3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-7" w:type="dxa"/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1" w:name="_30j0zll"/>
            <w:bookmarkEnd w:id="1"/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Especificación de requerimientos del sistema de información e informe de análisis.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DESCRIPCIÓN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conocimiento que el aprendiz ha adquirido de la empresa en estudio y utilizando los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conceptos y técnicas aprendidos en la actividad de proyecto número uno deberá determinar las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especificaciones para el sistema de información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lo anterior el aprendiz se deberá apoyar en el material de apoyo en relación con los siguientes </w:t>
      </w:r>
      <w:r>
        <w:rPr>
          <w:color w:val="00000A"/>
          <w:sz w:val="20"/>
          <w:szCs w:val="20"/>
          <w:rFonts w:ascii="Arial" w:eastAsia="Arial" w:hAnsi="Arial" w:hint="default"/>
        </w:rPr>
        <w:t>elementos: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como los datos y operaciones de cada una de las clases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utilizadas en UML.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las relaciones existentes entre diferentes modelos.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dato de un objeto (atributos, variables e instancias).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objetos que forman partes del modelo.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esta evidencia se deben seguir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1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Construir una definición de Caso de Uso y Diagrama de Clase que se pueda utilizar para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representar a un empleado de una compañía. Cada empleado se define por un número entero ID,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un Salario y el número máximo de horas de trabajo por semana.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Los servicios que debe proporcionar deben permitir introducir los datos de un nuevo empleado,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visualizar los datos existentes de un nuevo empleado y capacidad para procesar las operaciones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necesarias para dar de alta y de baja en la seguridad social y en los seguros que tenga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contratados la compañía.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ejercicio anterior, construir los diagramas utilizando la herramienta software Star </w:t>
      </w:r>
      <w:r>
        <w:rPr>
          <w:color w:val="00000A"/>
          <w:sz w:val="20"/>
          <w:szCs w:val="20"/>
          <w:rFonts w:ascii="Arial" w:eastAsia="Arial" w:hAnsi="Arial" w:hint="default"/>
        </w:rPr>
        <w:t>UML.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t xml:space="preserve">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612765" cy="3463290"/>
            <wp:effectExtent l="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61/fImage1394253272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63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t xml:space="preserve">Diagrama de clases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612765" cy="4826000"/>
            <wp:effectExtent l="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61/fImage620574889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26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2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Diligencie la plantilla descrita a continuación para la identificación de los objetos que componen los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diagramas.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8838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004"/>
        <w:gridCol w:w="5834"/>
      </w:tblGrid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Empleado, Gerente general, Supervisora de medios, Admon.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 recursos humanos, Analista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Casos de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Uso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número ID, Registro Cargo, Registro Salario,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Hrs. trabajo, Modificar, Eliminar, Login, Seguros,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Crear, Eliminar, Empleado, Salario, Seguro, Horas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trabajo, Busqueda de empleado por ID, Crear, Consultar,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Eliminar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del Sistema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Empresa Vidriería y Ornamentación Emanuel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Relación entre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Admon. de recursos humanos -&gt; Supervisora de medios -&gt;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Analista -&gt; Gerente general -&gt; Empleado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las clases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EmpleadoNuevo, Empleado/r, Supervisora de redes sociales,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Recursos humanos, Gerente general (Admon) y Analista</w:t>
            </w:r>
          </w:p>
        </w:tc>
      </w:tr>
      <w:tr>
        <w:trPr>
          <w:trHeight w:hRule="atleast" w:val="860"/>
          <w:hidden w:val="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Métodos de cada clase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448435" cy="2629535"/>
                  <wp:effectExtent l="0" t="0" r="0" b="0"/>
                  <wp:docPr id="1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Users/robertovelasquezdean/Library/Group Containers/L48J367XN4.com.infraware.PolarisOffice/EngineTemp/261/fImage498782249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070" cy="26301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1343660" cy="562610"/>
                  <wp:effectExtent l="0" t="0" r="0" b="0"/>
                  <wp:docPr id="1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/Users/robertovelasquezdean/Library/Group Containers/L48J367XN4.com.infraware.PolarisOffice/EngineTemp/261/fImage138532739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5632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3: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Elaboración del informe de análisis con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las propuestas de trabajo junto con la interpretación de las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necesidades tecnológicas, expuestas en el informe de requerimientos, de acuerdo con las normas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y protocolos del sistema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El informe debe contener: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Análisis DOFA del sistema de información actual. Este análisis además deberá incluir lo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>siguiente: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7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Diagnóstico y necesidades del hardware, software y servicios informáticos.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ab/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Identificación de las oportunidades de mejoramiento de acuerdo al análisis de los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requerimientos como se muestra en la siguiente tabla: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838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2946"/>
        <w:gridCol w:w="2946"/>
        <w:gridCol w:w="2946"/>
      </w:tblGrid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Nombre oportunidad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Descripción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Alcance de la </w:t>
            </w:r>
            <w:r>
              <w:rPr>
                <w:b w:val="1"/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implementación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Ejemplo: Actualizar versión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base de datos.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Ejemplo: Al actualizar la base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datos se podrá optimizar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servicio y mejorar la seguridad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del sistema.</w:t>
            </w: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Ejemplo: Se recomienda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realizar plan de trabajo para la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actualización de la base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>datos.</w:t>
            </w: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/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94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Elaboración del plan de trabajo con base en las oportunidades de mejora. El cual debe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>contener: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El nombre de la oportunidad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Software para el control de inventarios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Objetivo general y específicos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General: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partir del análisis y diseño, desarrollar un aplicativo Web que tenga como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objetivo principal la gestión y control de inventarios, de la manera más eficiente posible, sobre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totalidad de los materiales y equipos para su operación; llevando a cabo así, una mejor optimización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la toma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decisiones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interior de la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Especifico: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 un sistema robusto de conteo y monitoreo de la mercancia que tiene la empresa y de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rotación que hay en ella.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Mejorar el sistema de control interno, mediante los conceptos teóricos y experiencias de la práctica,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resulte eficiente y permita la entrada, permanencia y salida oportuna de materiales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equipos.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 un sistema de facturación automatizado.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Vigilar el sistema de inventarios: establecer qué actores o empleados de la empresa tienen acceso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 al control y manipulación interna de él.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Justificación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 usted se adueña de más detalles en el proceso de administración de los inventarios, usted podrá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analizar mejor la información que posee y eso le permitirá una mejor toma de decisiones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planeación. Como resultado, los beneficios se verán reflejados en mejores plusvalias en ventas,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mejores contratos en términos de relación costo-beneficio con proveedores y en una mejor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percepción sobre la intención de consumo del cliente.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- Cronograma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Levantamiento de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Organización de la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Análisis y busqueda de áreas de mejora por medio de la información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Busqueda de soluciones por medio de requerimientos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Diseño y presentación inicial de sistema de soluciones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Desarrollo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Implementación de aplicativo o software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Parametrización de información de la empresa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Testeo: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aplicativo en modo prueba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Entrega final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Recursos: físicos, humanos, financieros, otros.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Humanos: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personal técnico capacitado para uso de tecnologías y uso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equipos móviles. Soporte técnico de software y programación.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Físicos: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requieren equipos móviles y fijos compatibles con el software diseñado.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 Financiero: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este recurso para actualización de equipos y compra de algunos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dotar a todos los usuarios que intervienen.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sectPr>
      <w:headerReference w:type="default" r:id="rId9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CellMar>
        <w:left w:w="0" w:type="dxa"/>
        <w:top w:w="0" w:type="dxa"/>
        <w:right w:w="0" w:type="dxa"/>
        <w:bottom w:w="0" w:type="dxa"/>
      </w:tblCellMar>
      <w:tblW w:w="9001" w:type="dxa"/>
      <w:tblInd w:w="-10" w:type="dxa"/>
      <w:tblLook w:val="000400" w:firstRow="0" w:lastRow="0" w:firstColumn="0" w:lastColumn="0" w:noHBand="0" w:noVBand="1"/>
      <w:tblLayout w:type="fixed"/>
    </w:tblPr>
    <w:tblGrid>
      <w:gridCol w:w="1844"/>
      <w:gridCol w:w="7157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66" w:type="dxa"/>
          </w:tcMar>
          <w:vAlign w:val="center"/>
          <w:tcBorders>
            <w:bottom w:val="single" w:color="000001" w:sz="4"/>
            <w:left w:val="single" w:color="000001" w:sz="4"/>
            <w:right w:val="single" w:color="000001" w:sz="6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2135" cy="572135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/Users/robertovelasquezdean/Library/Group Containers/L48J367XN4.com.infraware.PolarisOffice/EngineTemp/261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" cy="572770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51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45C2313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1">
    <w:multiLevelType w:val="hybridMultilevel"/>
    <w:nsid w:val="2F000001"/>
    <w:tmpl w:val="362C60CD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2">
    <w:multiLevelType w:val="hybridMultilevel"/>
    <w:nsid w:val="2F000002"/>
    <w:tmpl w:val="41873E9D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3">
    <w:multiLevelType w:val="multilevel"/>
    <w:nsid w:val="2F000003"/>
    <w:tmpl w:val="3C1FE7F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hybridMultilevel"/>
    <w:nsid w:val="2F000004"/>
    <w:tmpl w:val="38B5531C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2F000005"/>
    <w:tmpl w:val="2E636073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6">
    <w:multiLevelType w:val="hybridMultilevel"/>
    <w:nsid w:val="2F000006"/>
    <w:tmpl w:val="245146BD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9425327254.png"></Relationship><Relationship Id="rId6" Type="http://schemas.openxmlformats.org/officeDocument/2006/relationships/image" Target="media/fImage62057488960.png"></Relationship><Relationship Id="rId7" Type="http://schemas.openxmlformats.org/officeDocument/2006/relationships/image" Target="media/fImage49878224915.png"></Relationship><Relationship Id="rId8" Type="http://schemas.openxmlformats.org/officeDocument/2006/relationships/image" Target="media/fImage13853273947.png"></Relationship><Relationship Id="rId9" Type="http://schemas.openxmlformats.org/officeDocument/2006/relationships/header" Target="header2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60</Lines>
  <LinksUpToDate>false</LinksUpToDate>
  <Pages>7</Pages>
  <Paragraphs>17</Paragraphs>
  <Words>1330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2017-11-21T11:59:00Z</dcterms:modified>
</cp:coreProperties>
</file>