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">
  <w:body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5372100" cy="3105150"/>
            <wp:effectExtent l="0" t="0" r="0" b="0"/>
            <wp:docPr id="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Users/robertovelasquezdean/Library/Group Containers/L48J367XN4.com.infraware.PolarisOffice/EngineTemp/1201/fImage117998109956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2735" cy="3105785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Tipos de relaciones en UML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la flecha con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punta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negra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refiere a una: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composición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(es decir, hay una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dependencia entre los ambos objetos). Si no se da el caso de uso (proceso) uno, no se da el caso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uso (proceso) dos. Dos (2) es consecuencia de uno (1) y en ese escenario ambos serían importantes en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el modelo; en nuestro ejercicio, hay dos casos de asociación de tipo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flecha siempre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debe apuntar hacia el caso de uso “padre”, al que no es dependiente.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Ahora, la flecha con </w:t>
      </w:r>
      <w:r>
        <w:rPr>
          <w:b w:val="1"/>
          <w:color w:val="auto"/>
          <w:sz w:val="22"/>
          <w:szCs w:val="22"/>
          <w:rFonts w:ascii="Times New Roman" w:eastAsia="Times New Roman" w:hAnsi="Times New Roman" w:hint="default"/>
        </w:rPr>
        <w:t>punta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</w:t>
      </w:r>
      <w:r>
        <w:rPr>
          <w:rStyle w:val="PO0"/>
          <w:spacing w:val="0"/>
          <w:vertAlign w:val="baseline"/>
          <w:b w:val="1"/>
          <w:color w:val="5B9BD5" w:themeColor="accent1"/>
          <w:position w:val="0"/>
          <w:sz w:val="22"/>
          <w:szCs w:val="22"/>
          <w:shd w:val="clear" w:fill="FFFFFF" w:themeFill="background1"/>
          <w:smallCaps w:val="0"/>
          <w:rFonts w:ascii="Times New Roman" w:eastAsia="Times New Roman" w:hAnsi="Times New Roman" w:hint="default"/>
        </w:rPr>
        <w:t xml:space="preserve">blanca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se refiere a una: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agregación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 (es decir, NO hay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necesariamente una dependencia entre ambos casos de uso). “Sólo se pone de decoración, para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>agregar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”. El caso de uso dos (2), acá, es una herramienta para ultimar detalles al caso uno (1), pero no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es necesario especificar dentro del modelo. Es decir, dos (2) complementa, le da un valor agregado, a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uno (1); pero dos (2), de hecho, no es necesario para uno (1); en nuestro ejercicio, hay dos casos de </w:t>
      </w:r>
      <w:r>
        <w:rPr>
          <w:color w:val="auto"/>
          <w:sz w:val="22"/>
          <w:szCs w:val="22"/>
          <w:rFonts w:ascii="Times New Roman" w:eastAsia="Times New Roman" w:hAnsi="Times New Roman" w:hint="default"/>
        </w:rPr>
        <w:t xml:space="preserve">asociación de tipo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agregación.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La flecha siempre debe apuntar hacia el caso de uso “padre”, al </w:t>
      </w:r>
      <w:r>
        <w:rPr>
          <w:i w:val="0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que no es dependiente.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Tanto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agregación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como en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composición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se puede dar una asociación de tipo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generalización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; es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decir, una relación entre elementos conocidos como hijo - padre. El hijo tiene la misma especificación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padre, la cuál puede extender. A esto se le llama también: herencia. Ejemplo: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sz w:val="20"/>
        </w:rPr>
        <w:drawing>
          <wp:inline distT="0" distB="0" distL="0" distR="0">
            <wp:extent cx="3771900" cy="2466975"/>
            <wp:effectExtent l="0" t="0" r="0" b="0"/>
            <wp:docPr id="1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Users/robertovelasquezdean/Library/Group Containers/L48J367XN4.com.infraware.PolarisOffice/EngineTemp/1201/fImage7335012439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534" cy="2467610"/>
                    </a:xfrm>
                    <a:prstGeom prst="rect"/>
                    <a:ln cap="flat"/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spacing w:lineRule="auto" w:line="259" w:before="0" w:after="160"/>
        <w:ind w:right="0" w:left="0" w:firstLine="0"/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wordWrap w:val="0"/>
      </w:pPr>
      <w:r>
        <w:rPr>
          <w:spacing w:val="0"/>
          <w:vertAlign w:val="baseline"/>
          <w:i w:val="1"/>
          <w:b w:val="1"/>
          <w:imprint w:val="0"/>
          <w:emboss w:val="0"/>
          <w:outline w:val="0"/>
          <w:shadow w:val="0"/>
          <w:color w:val="auto"/>
          <w:position w:val="0"/>
          <w:sz w:val="22"/>
          <w:szCs w:val="22"/>
          <w:u w:val="none"/>
          <w:smallCaps w:val="0"/>
          <w:rFonts w:ascii="Times New Roman" w:eastAsia="Times New Roman" w:hAnsi="Times New Roman" w:hint="default"/>
        </w:rPr>
        <w:t xml:space="preserve">Otras relaciones en UML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El caso de uso dos (2) suele ser una extensión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>(extend)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 del caso de uso uno (1) cuando realmente se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refleja una extensión, de dicho caso de uso uno (1), en el caso de uso dos (2); es decir, el caso de uso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dos (2) vendría siendo realmente una extensión del caso de uso uno (1): de su acto o su proceso, de su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naturaleza propiamente. Se podría interpretar como el mismo caso de uso uno (1) sólo que con unos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valores agregados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o un </w:t>
      </w:r>
      <w:r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  <w:t xml:space="preserve">pliego de opciones más avanzado </w:t>
      </w:r>
      <w:r>
        <w:rPr>
          <w:i w:val="0"/>
          <w:color w:val="auto"/>
          <w:sz w:val="22"/>
          <w:szCs w:val="22"/>
          <w:rFonts w:ascii="Times New Roman" w:eastAsia="Times New Roman" w:hAnsi="Times New Roman" w:hint="default"/>
        </w:rPr>
        <w:t xml:space="preserve">del mismo; contrario a una inclusión </w:t>
      </w:r>
      <w:r>
        <w:rPr>
          <w:i w:val="1"/>
          <w:b w:val="1"/>
          <w:color w:val="auto"/>
          <w:sz w:val="22"/>
          <w:szCs w:val="22"/>
          <w:rFonts w:ascii="Times New Roman" w:eastAsia="Times New Roman" w:hAnsi="Times New Roman" w:hint="default"/>
        </w:rPr>
        <w:t xml:space="preserve">(include),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en una inclusión, el caso de uso dos (2) no es una extensión propia del caso de uso uno (1):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es un caso de uso totalmente diferente a lo planteado en el caso de uso uno (1), no trata de un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complemento o de una “más detallada especificación” de lo mismo, incluso aunque el caso de uso </w:t>
      </w:r>
      <w:r>
        <w:rPr>
          <w:i w:val="0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dos (2) sea una consecuencia del caso de uso uno (1) en algunos planteamientos. </w:t>
      </w:r>
    </w:p>
    <w:p>
      <w:pPr>
        <w:numPr>
          <w:ilvl w:val="0"/>
          <w:numId w:val="0"/>
        </w:numPr>
        <w:jc w:val="both"/>
        <w:spacing w:lineRule="auto" w:line="259" w:before="0" w:after="160"/>
        <w:ind w:left="0" w:hanging="0"/>
        <w:rPr>
          <w:i w:val="1"/>
          <w:color w:val="auto"/>
          <w:sz w:val="22"/>
          <w:szCs w:val="22"/>
          <w:rFonts w:ascii="Times New Roman" w:eastAsia="Times New Roman" w:hAnsi="Times New Roman" w:hint="default"/>
        </w:rPr>
      </w:pP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tip: Por lo general todos los “include” son flechas negras; sin embargo, los “extend” pueden ser </w:t>
      </w:r>
      <w:r>
        <w:rPr>
          <w:i w:val="1"/>
          <w:b w:val="0"/>
          <w:color w:val="auto"/>
          <w:sz w:val="22"/>
          <w:szCs w:val="22"/>
          <w:rFonts w:ascii="Times New Roman" w:eastAsia="Times New Roman" w:hAnsi="Times New Roman" w:hint="default"/>
        </w:rPr>
        <w:t xml:space="preserve">flechas negras o blancas. </w: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1906" w:h="16838"/>
      <w:pgMar w:top="1701" w:left="1440" w:bottom="1440" w:right="1440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Arial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Roboto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</w:pPr>
    </w:pPrDefault>
    <w:rPrDefault>
      <w:rPr>
        <w:shd w:val="clear"/>
        <w:sz w:val="22"/>
        <w:szCs w:val="22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0"/>
      <w:autoSpaceDN w:val="0"/>
      <w:jc w:val="both"/>
    </w:pPr>
    <w:rPr>
      <w:shd w:val="clear"/>
      <w:sz w:val="22"/>
      <w:szCs w:val="22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2"/>
      <w:szCs w:val="22"/>
      <w:w w:val="100"/>
    </w:rPr>
  </w:style>
  <w:style w:default="1" w:styleId="PO3" w:type="table">
    <w:name w:val="Normal Table"/>
    <w:uiPriority w:val="3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jc w:val="both"/>
    </w:pPr>
    <w:rPr>
      <w:shd w:val="clear"/>
      <w:sz w:val="22"/>
      <w:szCs w:val="22"/>
      <w:w w:val="100"/>
    </w:rPr>
  </w:style>
  <w:style w:styleId="PO6" w:type="paragraph">
    <w:name w:val="Title"/>
    <w:link w:val="PO-1"/>
    <w:qFormat/>
    <w:uiPriority w:val="6"/>
    <w:pPr>
      <w:jc w:val="center"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jc w:val="both"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jc w:val="both"/>
    </w:pPr>
    <w:rPr>
      <w:shd w:val="clear"/>
      <w:sz w:val="22"/>
      <w:szCs w:val="22"/>
      <w:w w:val="100"/>
    </w:rPr>
  </w:style>
  <w:style w:styleId="PO9" w:type="paragraph">
    <w:name w:val="heading 3"/>
    <w:link w:val="PO-1"/>
    <w:qFormat/>
    <w:uiPriority w:val="9"/>
    <w:pPr>
      <w:ind w:left="1000" w:hanging="400"/>
      <w:jc w:val="both"/>
    </w:pPr>
    <w:rPr>
      <w:shd w:val="clear"/>
      <w:sz w:val="22"/>
      <w:szCs w:val="22"/>
      <w:w w:val="100"/>
    </w:rPr>
  </w:style>
  <w:style w:styleId="PO10" w:type="paragraph">
    <w:name w:val="heading 4"/>
    <w:link w:val="PO-1"/>
    <w:qFormat/>
    <w:uiPriority w:val="10"/>
    <w:pPr>
      <w:ind w:left="1200" w:hanging="400"/>
      <w:jc w:val="both"/>
    </w:pPr>
    <w:rPr>
      <w:b/>
      <w:shd w:val="clear"/>
      <w:sz w:val="22"/>
      <w:szCs w:val="22"/>
      <w:w w:val="100"/>
    </w:rPr>
  </w:style>
  <w:style w:styleId="PO11" w:type="paragraph">
    <w:name w:val="heading 5"/>
    <w:link w:val="PO-1"/>
    <w:qFormat/>
    <w:uiPriority w:val="11"/>
    <w:pPr>
      <w:ind w:left="1400" w:hanging="400"/>
      <w:jc w:val="both"/>
    </w:pPr>
    <w:rPr>
      <w:shd w:val="clear"/>
      <w:sz w:val="22"/>
      <w:szCs w:val="22"/>
      <w:w w:val="100"/>
    </w:rPr>
  </w:style>
  <w:style w:styleId="PO12" w:type="paragraph">
    <w:name w:val="heading 6"/>
    <w:link w:val="PO-1"/>
    <w:qFormat/>
    <w:uiPriority w:val="12"/>
    <w:pPr>
      <w:ind w:left="1600" w:hanging="400"/>
      <w:jc w:val="both"/>
    </w:pPr>
    <w:rPr>
      <w:b/>
      <w:shd w:val="clear"/>
      <w:sz w:val="22"/>
      <w:szCs w:val="22"/>
      <w:w w:val="100"/>
    </w:rPr>
  </w:style>
  <w:style w:styleId="PO13" w:type="paragraph">
    <w:name w:val="heading 7"/>
    <w:link w:val="PO-1"/>
    <w:qFormat/>
    <w:uiPriority w:val="13"/>
    <w:pPr>
      <w:ind w:left="1800" w:hanging="400"/>
      <w:jc w:val="both"/>
    </w:pPr>
    <w:rPr>
      <w:shd w:val="clear"/>
      <w:sz w:val="22"/>
      <w:szCs w:val="22"/>
      <w:w w:val="100"/>
    </w:rPr>
  </w:style>
  <w:style w:styleId="PO14" w:type="paragraph">
    <w:name w:val="heading 8"/>
    <w:link w:val="PO-1"/>
    <w:qFormat/>
    <w:uiPriority w:val="14"/>
    <w:pPr>
      <w:ind w:left="2000" w:hanging="400"/>
      <w:jc w:val="both"/>
    </w:pPr>
    <w:rPr>
      <w:shd w:val="clear"/>
      <w:sz w:val="22"/>
      <w:szCs w:val="22"/>
      <w:w w:val="100"/>
    </w:rPr>
  </w:style>
  <w:style w:styleId="PO15" w:type="paragraph">
    <w:name w:val="heading 9"/>
    <w:link w:val="PO-1"/>
    <w:qFormat/>
    <w:uiPriority w:val="15"/>
    <w:pPr>
      <w:ind w:left="2200" w:hanging="400"/>
      <w:jc w:val="both"/>
    </w:pPr>
    <w:rPr>
      <w:shd w:val="clear"/>
      <w:sz w:val="22"/>
      <w:szCs w:val="22"/>
      <w:w w:val="100"/>
    </w:rPr>
  </w:style>
  <w:style w:styleId="PO16" w:type="paragraph">
    <w:name w:val="Subtitle"/>
    <w:link w:val="PO-1"/>
    <w:qFormat/>
    <w:uiPriority w:val="16"/>
    <w:pPr>
      <w:jc w:val="center"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2"/>
      <w:szCs w:val="22"/>
      <w:w w:val="100"/>
    </w:rPr>
  </w:style>
  <w:style w:styleId="PO18" w:type="character">
    <w:name w:val="Emphasis"/>
    <w:qFormat/>
    <w:uiPriority w:val="18"/>
    <w:rPr>
      <w:i/>
      <w:shd w:val="clear"/>
      <w:sz w:val="22"/>
      <w:szCs w:val="22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2"/>
      <w:szCs w:val="22"/>
      <w:w w:val="100"/>
    </w:rPr>
  </w:style>
  <w:style w:styleId="PO20" w:type="character">
    <w:name w:val="Strong"/>
    <w:qFormat/>
    <w:uiPriority w:val="20"/>
    <w:rPr>
      <w:b/>
      <w:shd w:val="clear"/>
      <w:sz w:val="22"/>
      <w:szCs w:val="22"/>
      <w:w w:val="100"/>
    </w:rPr>
  </w:style>
  <w:style w:styleId="PO21" w:type="paragraph">
    <w:name w:val="Quote"/>
    <w:link w:val="PO-1"/>
    <w:qFormat/>
    <w:uiPriority w:val="21"/>
    <w:pPr>
      <w:ind w:left="864" w:right="864" w:firstLine="0"/>
      <w:jc w:val="center"/>
    </w:pPr>
    <w:rPr>
      <w:color w:val="404040"/>
      <w:i/>
      <w:shd w:val="clear"/>
      <w:sz w:val="22"/>
      <w:szCs w:val="22"/>
      <w:w w:val="100"/>
    </w:rPr>
  </w:style>
  <w:style w:styleId="PO22" w:type="paragraph">
    <w:name w:val="Intense Quote"/>
    <w:link w:val="PO-1"/>
    <w:qFormat/>
    <w:uiPriority w:val="22"/>
    <w:pPr>
      <w:pBdr>
        <w:top w:val="single" w:sz="1" w:space="10" w:color="5B9BD5"/>
        <w:bottom w:val="single" w:sz="1" w:space="10" w:color="5B9BD5"/>
      </w:pBdr>
      <w:ind w:left="950" w:right="950" w:firstLine="0"/>
      <w:jc w:val="center"/>
    </w:pPr>
    <w:rPr>
      <w:color w:val="5B9BD5"/>
      <w:i/>
      <w:shd w:val="clear"/>
      <w:sz w:val="22"/>
      <w:szCs w:val="22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2"/>
      <w:szCs w:val="22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2"/>
      <w:szCs w:val="22"/>
      <w:w w:val="100"/>
    </w:rPr>
  </w:style>
  <w:style w:styleId="PO25" w:type="character">
    <w:name w:val="Book Title"/>
    <w:qFormat/>
    <w:uiPriority w:val="25"/>
    <w:rPr>
      <w:i/>
      <w:b/>
      <w:shd w:val="clear"/>
      <w:sz w:val="22"/>
      <w:szCs w:val="22"/>
      <w:w w:val="100"/>
    </w:rPr>
  </w:style>
  <w:style w:styleId="PO26" w:type="paragraph">
    <w:name w:val="List Paragraph"/>
    <w:link w:val="PO-1"/>
    <w:qFormat/>
    <w:uiPriority w:val="26"/>
    <w:pPr>
      <w:ind w:left="850" w:firstLine="0"/>
      <w:jc w:val="both"/>
    </w:pPr>
    <w:rPr>
      <w:shd w:val="clear"/>
      <w:sz w:val="22"/>
      <w:szCs w:val="22"/>
      <w:w w:val="100"/>
    </w:rPr>
  </w:style>
  <w:style w:styleId="PO27" w:type="paragraph">
    <w:name w:val="TOC Heading"/>
    <w:link w:val="PO-1"/>
    <w:qFormat/>
    <w:uiPriority w:val="27"/>
    <w:unhideWhenUsed/>
    <w:pPr/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jc w:val="both"/>
    </w:pPr>
    <w:rPr>
      <w:shd w:val="clear"/>
      <w:sz w:val="22"/>
      <w:szCs w:val="22"/>
      <w:w w:val="100"/>
    </w:rPr>
  </w:style>
  <w:style w:styleId="PO29" w:type="paragraph">
    <w:name w:val="toc 2"/>
    <w:link w:val="PO-1"/>
    <w:qFormat/>
    <w:uiPriority w:val="29"/>
    <w:unhideWhenUsed/>
    <w:pPr>
      <w:ind w:left="425" w:firstLine="0"/>
      <w:jc w:val="both"/>
    </w:pPr>
    <w:rPr>
      <w:shd w:val="clear"/>
      <w:sz w:val="22"/>
      <w:szCs w:val="22"/>
      <w:w w:val="100"/>
    </w:rPr>
  </w:style>
  <w:style w:styleId="PO30" w:type="paragraph">
    <w:name w:val="toc 3"/>
    <w:link w:val="PO-1"/>
    <w:qFormat/>
    <w:uiPriority w:val="30"/>
    <w:unhideWhenUsed/>
    <w:pPr>
      <w:ind w:left="850" w:firstLine="0"/>
      <w:jc w:val="both"/>
    </w:pPr>
    <w:rPr>
      <w:shd w:val="clear"/>
      <w:sz w:val="22"/>
      <w:szCs w:val="22"/>
      <w:w w:val="100"/>
    </w:rPr>
  </w:style>
  <w:style w:styleId="PO31" w:type="paragraph">
    <w:name w:val="toc 4"/>
    <w:link w:val="PO-1"/>
    <w:qFormat/>
    <w:uiPriority w:val="31"/>
    <w:unhideWhenUsed/>
    <w:pPr>
      <w:ind w:left="1275" w:firstLine="0"/>
      <w:jc w:val="both"/>
    </w:pPr>
    <w:rPr>
      <w:shd w:val="clear"/>
      <w:sz w:val="22"/>
      <w:szCs w:val="22"/>
      <w:w w:val="100"/>
    </w:rPr>
  </w:style>
  <w:style w:styleId="PO32" w:type="paragraph">
    <w:name w:val="toc 5"/>
    <w:link w:val="PO-1"/>
    <w:qFormat/>
    <w:uiPriority w:val="32"/>
    <w:unhideWhenUsed/>
    <w:pPr>
      <w:ind w:left="1700" w:firstLine="0"/>
      <w:jc w:val="both"/>
    </w:pPr>
    <w:rPr>
      <w:shd w:val="clear"/>
      <w:sz w:val="22"/>
      <w:szCs w:val="22"/>
      <w:w w:val="100"/>
    </w:rPr>
  </w:style>
  <w:style w:styleId="PO33" w:type="paragraph">
    <w:name w:val="toc 6"/>
    <w:link w:val="PO-1"/>
    <w:qFormat/>
    <w:uiPriority w:val="33"/>
    <w:unhideWhenUsed/>
    <w:pPr>
      <w:ind w:left="2125" w:firstLine="0"/>
      <w:jc w:val="both"/>
    </w:pPr>
    <w:rPr>
      <w:shd w:val="clear"/>
      <w:sz w:val="22"/>
      <w:szCs w:val="22"/>
      <w:w w:val="100"/>
    </w:rPr>
  </w:style>
  <w:style w:styleId="PO34" w:type="paragraph">
    <w:name w:val="toc 7"/>
    <w:link w:val="PO-1"/>
    <w:qFormat/>
    <w:uiPriority w:val="34"/>
    <w:unhideWhenUsed/>
    <w:pPr>
      <w:ind w:left="2550" w:firstLine="0"/>
      <w:jc w:val="both"/>
    </w:pPr>
    <w:rPr>
      <w:shd w:val="clear"/>
      <w:sz w:val="22"/>
      <w:szCs w:val="22"/>
      <w:w w:val="100"/>
    </w:rPr>
  </w:style>
  <w:style w:styleId="PO35" w:type="paragraph">
    <w:name w:val="toc 8"/>
    <w:link w:val="PO-1"/>
    <w:qFormat/>
    <w:uiPriority w:val="35"/>
    <w:unhideWhenUsed/>
    <w:pPr>
      <w:ind w:left="2975" w:firstLine="0"/>
      <w:jc w:val="both"/>
    </w:pPr>
    <w:rPr>
      <w:shd w:val="clear"/>
      <w:sz w:val="22"/>
      <w:szCs w:val="22"/>
      <w:w w:val="100"/>
    </w:rPr>
  </w:style>
  <w:style w:styleId="PO36" w:type="paragraph">
    <w:name w:val="toc 9"/>
    <w:link w:val="PO-1"/>
    <w:qFormat/>
    <w:uiPriority w:val="36"/>
    <w:unhideWhenUsed/>
    <w:pPr>
      <w:ind w:left="3400" w:firstLine="0"/>
      <w:jc w:val="both"/>
    </w:pPr>
    <w:rPr>
      <w:shd w:val="clear"/>
      <w:sz w:val="22"/>
      <w:szCs w:val="22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117998109956.png"></Relationship><Relationship Id="rId6" Type="http://schemas.openxmlformats.org/officeDocument/2006/relationships/image" Target="media/fImage73350124390.png"></Relationship><Relationship Id="rId7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2</Pages>
  <Paragraphs>0</Paragraphs>
  <Words>436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robertovelasquezdean</dc:creator>
  <cp:lastModifiedBy/>
</cp:coreProperties>
</file>