
<file path=[Content_Types].xml><?xml version="1.0" encoding="utf-8"?>
<Types xmlns="http://schemas.openxmlformats.org/package/2006/content-types">
  <Default Extension="jpg" ContentType="application/octet-stream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40" w:type="dxa"/>
        <w:jc w:val="center"/>
        <w:tblLook w:val="000400" w:firstRow="0" w:lastRow="0" w:firstColumn="0" w:lastColumn="0" w:noHBand="0" w:noVBand="1"/>
        <w:tblLayout w:type="fixed"/>
      </w:tblPr>
      <w:tblGrid>
        <w:gridCol w:w="1811"/>
        <w:gridCol w:w="1770"/>
        <w:gridCol w:w="285"/>
        <w:gridCol w:w="2251"/>
        <w:gridCol w:w="285"/>
        <w:gridCol w:w="230"/>
        <w:gridCol w:w="1009"/>
        <w:gridCol w:w="1303"/>
        <w:gridCol w:w="385"/>
        <w:gridCol w:w="1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Programa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formación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titulada</w:t>
            </w:r>
          </w:p>
        </w:tc>
        <w:tc>
          <w:tcPr>
            <w:tcW w:type="dxa" w:w="75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Tecnólogo en Análisis y Desarrollo de Sistemas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752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24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Diseño y construcción de software a la medida para el sector empresarial.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1"/>
          <w:trHeight w:hRule="atleast" w:val="72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proyecto</w:t>
            </w:r>
          </w:p>
        </w:tc>
        <w:tc>
          <w:tcPr>
            <w:tcW w:type="dxa" w:w="4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4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AP3. Especificar el modelo conceptual del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sistema de información.</w:t>
            </w:r>
          </w:p>
        </w:tc>
        <w:tc>
          <w:tcPr>
            <w:tcW w:type="dxa" w:w="1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6"/>
              <w:left w:val="single" w:color="000000" w:sz="4"/>
              <w:right w:val="single" w:color="000000" w:sz="4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Fase del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16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6"/>
              <w:left w:val="single" w:color="000000" w:sz="4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Análisis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1"/>
          <w:trHeight w:hRule="atleast" w:val="72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5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AA4. Elaborar el modelo conceptual del sistema de información a desarrollar,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teniendo en cuenta  modelos tecnológicos de información empresarial, los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requerimientos del cliente, normas, protocolos y modelos de calidad en el manejo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 información adoptados por la organización.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1"/>
          <w:trHeight w:hRule="atleast" w:val="72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Resultado(s)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5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center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24020150013. Generar procesos autónomos y de trabajo colaborativo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permanentes, fortaleciendo el equilibrio de los componentes racionales y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emocionales orientados hacia el desarrollo humano integral.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1"/>
          <w:trHeight w:hRule="atleast" w:val="60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</w:t>
            </w:r>
          </w:p>
        </w:tc>
        <w:tc>
          <w:tcPr>
            <w:tcW w:type="dxa" w:w="75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8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Foro de discusión: “Trabajo en equipo y resolución de conflictos”.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1"/>
          <w:trHeight w:hRule="atleast" w:val="26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7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Conocimiento</w:t>
            </w:r>
          </w:p>
        </w:tc>
        <w:tc>
          <w:tcPr>
            <w:tcW w:type="dxa" w:w="2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Producto</w:t>
            </w:r>
          </w:p>
        </w:tc>
        <w:tc>
          <w:tcPr>
            <w:tcW w:type="dxa" w:w="5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Desempeño</w:t>
            </w:r>
          </w:p>
        </w:tc>
        <w:tc>
          <w:tcPr>
            <w:tcW w:type="dxa" w:w="3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8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Descripción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la 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52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Foro de Discusión: “Trabajo en equipo y resolución de conflictos”. En este foro se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plasmará la respuesta a la pregunta (d) del caso 1. Se hará la realimentación 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mínimo tres intervenciones de los compañeros. El grupo acordará una decisión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conjunta.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8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Producto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entregable</w:t>
            </w:r>
          </w:p>
        </w:tc>
        <w:tc>
          <w:tcPr>
            <w:tcW w:type="dxa" w:w="752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Foro de discusión: “Trabajo en equipo y resolución de conflictos”.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200"/>
          <w:hidden w:val="0"/>
        </w:trPr>
        <w:tc>
          <w:tcPr>
            <w:tcW w:type="dxa" w:w="18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Criterios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752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gridSpan w:val="9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Armoniza los componentes racionales y emocionales en el desarrollo de los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procesos de trabajo colectivo, según normas de convivencia. 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Resuelve conflictos mediante el uso de la racionalidad, la argumentación y la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asertividad.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1"/>
          <w:trHeight w:hRule="atleast" w:val="260"/>
          <w:hidden w:val="0"/>
        </w:trPr>
        <w:tc>
          <w:tcPr>
            <w:tcW w:type="dxa" w:w="18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Instrumento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7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20" w:type="dxa"/>
              <w:right w:w="12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Lista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chequeo</w:t>
            </w:r>
          </w:p>
        </w:tc>
        <w:tc>
          <w:tcPr>
            <w:tcW w:type="dxa" w:w="2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2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Rúbrica</w:t>
            </w:r>
          </w:p>
        </w:tc>
        <w:tc>
          <w:tcPr>
            <w:tcW w:type="dxa" w:w="5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3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Otro (cuál)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DESCRIPCIÓN DE LA EVIDENCIA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bookmarkStart w:id="1" w:name="_gjdgxs"/>
      <w:bookmarkEnd w:id="1"/>
      <w:r>
        <w:rPr>
          <w:color w:val="000000"/>
          <w:sz w:val="20"/>
          <w:szCs w:val="20"/>
          <w:rFonts w:ascii="Arial" w:eastAsia="Arial" w:hAnsi="Arial" w:hint="default"/>
        </w:rPr>
        <w:t xml:space="preserve">Esta actividad tiene como objetivo que ponga en práctica los temas vistos en el material de </w:t>
      </w:r>
      <w:r>
        <w:rPr>
          <w:color w:val="000000"/>
          <w:sz w:val="20"/>
          <w:szCs w:val="20"/>
          <w:rFonts w:ascii="Arial" w:eastAsia="Arial" w:hAnsi="Arial" w:hint="default"/>
        </w:rPr>
        <w:t>formación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 “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Por tal motivo es necesario que: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Lea con detenimiento el material de formación 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Trabajo en equipo y resolución de conflictos”.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Lea con atención el siguiente caso de estudio y proceda a responder las preguntas que allí se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le plantean.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Caso 1 “Trabajo en equipo”.</w:t>
      </w:r>
      <w:r>
        <w:rPr>
          <w:b w:val="1"/>
          <w:color w:val="000000"/>
          <w:sz w:val="20"/>
          <w:szCs w:val="20"/>
          <w:rFonts w:ascii="Arial" w:eastAsia="Arial" w:hAnsi="Arial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Usted es contratado por una empresa que necesita un sistema de información para poder tener 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la mano el registro del inventario de productos con los que cuentan. Al llegar a la empresa el jefe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la compañía le asigna un grupo de cuatro personas que lo apoyarán para realizar la recolección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 la información y todo lo que se requiera para poder montar el programa en el menor tiempo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posible.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Conforme van pasando los días usted encuentra las siguientes características en cada uno de los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miembros del grupo: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María: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muestra toda la voluntad para trabajar, cumple con las tareas asignadas, aprende rápido.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Juan: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tiene algo de voluntad para trabajar, entrega lo solicitado no siempre en los tiempos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pactados, sus aportes no hacen mucha diferencia al trabajo.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Inés: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su rendimiento es variable, a veces apoya al grupo y otras no cumple con lo solicitado.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Rodolfo: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es muy amable, conoce bastante sobre el tema, pero no comparte la información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constantemente está encontrando peros a lo que realizan los demás.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El jefe le da la oportunidad de prescindir de uno de los miembros de este equipo.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¿Cuál considera que debe ser reemplazado y por qué?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Establezca las cinco características que usted buscaría en el nuevo miembro del grupo y por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qué cree que son importantes.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Participe en el foro de discusión “Trabajo en equipo y resolución de conflictos” socializando las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razones por las cuales eligió prescindir de este miembro del equipo. Explique su decisión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sustente su elección del caso 1 “Trabajo en equipo”.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Debe realimentar utilizando la rúbrica TIGRE, por lo menos tres intervenciones de sus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compañeros que hayan respondido a la pregunta (d) del caso 1 “Trabajo en equipo”.</w:t>
      </w:r>
    </w:p>
    <w:p>
      <w:pPr>
        <w:numPr>
          <w:ilvl w:val="0"/>
          <w:numId w:val="0"/>
        </w:numPr>
        <w:jc w:val="left"/>
        <w:spacing w:lineRule="auto" w:line="288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199"/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En el foro de discusión “Trabajo en equipo y resolución de conflictos” se tomará la decisión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conjunta de cuál miembro del equipo será sustituido en el caso 1 “Trabajo en equipo”. Cada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aprendiz debe argumentar su decisión, hasta que se llegue a un acuerdo.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1199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PRODUCTO(S) ENTREGABLE(S)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Evidencia Foro de discusión: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 “Trabajo en equipo y resolución de conflictos”.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Participación activa en el foro de discusión socializando las razones por las cuales eligió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prescindir de este miembro del equipo. Explique su decisión y sustente su elección del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caso 1 “Trabajo en equipo”.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Retroalimentar utilizando la rúbrica TIGRE, por lo menos tres intervenciones de sus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compañeros que hayan respondido a la pregunta (d) del caso 1 “Trabajo en equipo”.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Decisión conjunta de cuál miembro del equipo será sustituido en el caso 1 “Trabajo en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equipo”. Cada aprendiz debe argumentar su decisión, hasta que se llegue a un acuerdo.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INSTRUMENTO DE EVALUACIÓN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evaluación de la presente evidencia se hará teniendo en cuenta las variables y criterios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evaluación establecidos en el instrumento de evaluación específico para esta evidencia, es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importante su lectura para mayor comprensión de lo requerido.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Nombre instrumento de evaluación: IE-AP3-AA4-EV06-Foro-Trabajo-Equipo.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FORMA DE ENTREGA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Debe enviar el archivo a través de la plataforma virtual en el área correspondiente indicada por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encargado. Al momento de realizar la entrega tenga en cuenta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Ingrese al menú principal de la plataforma y ubique el área de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>Actividades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 e ingrese al enlace </w:t>
      </w:r>
      <w:r>
        <w:rPr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Fase Análisis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”, posteriormente acceda a la carpeta de la Actividad de Proyecto correspondiente,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haga entrega de la evidencia. En caso de dificultades comuníquese oportunamente con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a cargo.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000000"/>
          <w:sz w:val="28"/>
          <w:szCs w:val="28"/>
          <w:rFonts w:ascii="Arial" w:eastAsia="Arial" w:hAnsi="Arial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8"/>
          <w:szCs w:val="28"/>
          <w:rFonts w:ascii="Arial" w:eastAsia="Arial" w:hAnsi="Arial" w:hint="default"/>
        </w:rPr>
        <w:t xml:space="preserve">Evidencia resuelta: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</w:pPr>
      <w:r>
        <w:rPr>
          <w:spacing w:val="0"/>
          <w:i w:val="0"/>
          <w:b w:val="0"/>
          <w:color w:val="141414"/>
          <w:sz w:val="21"/>
          <w:szCs w:val="21"/>
          <w:rFonts w:ascii="Wingdings" w:eastAsia="Helvetica Neue" w:hAnsi="Helvetica Neue" w:hint="default"/>
        </w:rPr>
        <w:t>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 </w:t>
      </w: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A. ¿Cuál considera que debe ser reemplazado y por qué?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Así como un </w:t>
      </w:r>
      <w:r>
        <w:rPr>
          <w:spacing w:val="0"/>
          <w:i w:val="1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Buen clima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genera un ambiente positivo y fomenta a la productividad; un </w:t>
      </w:r>
      <w:r>
        <w:rPr>
          <w:spacing w:val="0"/>
          <w:i w:val="1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Mal </w:t>
      </w:r>
      <w:r>
        <w:rPr>
          <w:spacing w:val="0"/>
          <w:i w:val="1"/>
          <w:b w:val="0"/>
          <w:color w:val="141414"/>
          <w:sz w:val="21"/>
          <w:szCs w:val="21"/>
          <w:rFonts w:ascii="Helvetica Neue" w:eastAsia="Helvetica Neue" w:hAnsi="Helvetica Neue" w:hint="default"/>
        </w:rPr>
        <w:t>clima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genera un ambiente negativo, que resulta ser también muy contagioso, para todas las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demás áreas de trabajo. En ese sentido, suele ser más díficil gestionar la mala actitud de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alguien que sus falencias cognitivas; pues, la mala actitud de alguien es justamente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contagiosa mientras que las falencias cognitivas de cada persona, no (se pueden orientar sin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que afecten el natural curso de las habilidades cognitivas de los demás).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Entonces, supongamos,... en el caso de Juan e Inés, ambos pueden ser orientados en el corto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-mediano plazo; pues, aunque a veces fallen en sus procesos laborales, ellos eventualmente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podrían aprender de sus fallas por el mero hecho de tener una mínima disposición de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aprendizaje y, lo más importante, por invocar nuevamente un entorno de trabajo saludable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(Luego de prescindir de uno de los miembros del equipo).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Continuando con la idea, un entorno de trabajo no saludable puede afectar también al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desempeño de los demás integrantes de un grupo, repito, las malas actitudes dentro de un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grupo requieren de una mayor atención porque, tarde o temprano, terminará afectando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negativamente a los demás. En conclusión, a partir de lo anterior, </w:t>
      </w: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es mejor prescindir de </w:t>
      </w: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>Rodolfo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; pues, su mala actitud podría estar afectando sobre el desempeño de los demás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integrantes y es muy muy díficil que Rodolfo pretenda cambiarlo. Tal como se encuentra en el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texto: "Los conocimientos se aprenden, la experiencia se adquiere (esto es lo de menos), pero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una actitud negativa difi?cilmente se modifique a trave?s del tiempo; y, en consecuencia,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repercute negativamente en la consecucio?n de los objetivos del grupo”.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</w:pPr>
      <w:r>
        <w:rPr>
          <w:spacing w:val="0"/>
          <w:i w:val="0"/>
          <w:b w:val="0"/>
          <w:color w:val="141414"/>
          <w:sz w:val="21"/>
          <w:szCs w:val="21"/>
          <w:rFonts w:ascii="Wingdings" w:eastAsia="Helvetica Neue" w:hAnsi="Helvetica Neue" w:hint="default"/>
        </w:rPr>
        <w:t>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 </w:t>
      </w: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B. Establezca las cinco características que usted buscaría en el nuevo miembro </w:t>
      </w: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del grupo y por qué cree que son importantes.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1. Complementariedad: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Es ideal que cada miembro del grupo se especialice en algo; es decir,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me interesaría convocar a alguien que sea muy bueno; pero que, además, sea único dentro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de su área de conocimiento,... de tal manera que siempre esté complementando y enseñando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cosas nuevas.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2. Coordinación: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Es ideal que al nuevo miembro le guste trabajar en equipo, siempre será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mejor (dos cabezas más que uno).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3. Comunicación: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Fundamental para poder coordinar, a un fin común, todas las actuaciones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individuales (evitando mal entendidos y retrasos en los proyectos, o incluso, evitando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>pérdidas).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4. Confianza: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Que crea en su otro compañero de trabajo y se apoyen mutuamente.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0"/>
      </w:pP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 xml:space="preserve">5. Compromiso: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Que esté comprometido con la causa fuera de cualquier interés de índole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personal, que entregue lo mejor de sí siempre sin importar las condiciones.</w:t>
      </w:r>
    </w:p>
    <w:sectPr>
      <w:headerReference w:type="default" r:id="rId5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0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CellMar>
        <w:left w:w="0" w:type="dxa"/>
        <w:top w:w="0" w:type="dxa"/>
        <w:right w:w="0" w:type="dxa"/>
        <w:bottom w:w="0" w:type="dxa"/>
      </w:tblCellMar>
      <w:tblW w:w="9002" w:type="dxa"/>
      <w:tblLook w:val="000400" w:firstRow="0" w:lastRow="0" w:firstColumn="0" w:lastColumn="0" w:noHBand="0" w:noVBand="1"/>
      <w:tblLayout w:type="fixed"/>
    </w:tblPr>
    <w:tblGrid>
      <w:gridCol w:w="1844"/>
      <w:gridCol w:w="7158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75" w:type="dxa"/>
            <w:right w:w="75" w:type="dxa"/>
          </w:tcMar>
          <w:vAlign w:val="center"/>
          <w:tcBorders>
            <w:bottom w:val="single" w:color="000000" w:sz="4"/>
            <w:left w:val="single" w:color="000000" w:sz="4"/>
            <w:right w:val="single" w:color="000000" w:sz="6"/>
            <w:top w:val="single" w:color="000000" w:sz="4"/>
          </w:tcBorders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1500" cy="571500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robertovelasquezdean/Library/Group Containers/L48J367XN4.com.infraware.PolarisOffice/EngineTemp/2559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135" cy="572135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75" w:type="dxa"/>
            <w:right w:w="75" w:type="dxa"/>
          </w:tcMar>
          <w:vAlign w:val="center"/>
          <w:tcBorders>
            <w:bottom w:val="single" w:color="000000" w:sz="6"/>
            <w:left w:val="single" w:color="000000" w:sz="6"/>
            <w:right w:val="single" w:color="000000" w:sz="6"/>
            <w:top w:val="single" w:color="000000" w:sz="6"/>
          </w:tcBorders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0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0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226BEA5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✓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▪"/>
    </w:lvl>
  </w:abstractNum>
  <w:abstractNum w:abstractNumId="1">
    <w:multiLevelType w:val="multilevel"/>
    <w:nsid w:val="2F000001"/>
    <w:tmpl w:val="40E69BA3"/>
    <w:lvl w:ilvl="0">
      <w:lvlJc w:val="left"/>
      <w:numFmt w:val="lowerLetter"/>
      <w:start w:val="1"/>
      <w:suff w:val="tab"/>
      <w:pPr>
        <w:ind w:left="360" w:hanging="360"/>
        <w:jc w:val="both"/>
      </w:pPr>
      <w:lvlText w:val="%1)"/>
    </w:lvl>
    <w:lvl w:ilvl="1">
      <w:lvlJc w:val="left"/>
      <w:numFmt w:val="lowerLetter"/>
      <w:start w:val="1"/>
      <w:suff w:val="tab"/>
      <w:pPr>
        <w:ind w:left="108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lvlText w:val="%9."/>
    </w:lvl>
  </w:abstractNum>
  <w:abstractNum w:abstractNumId="2">
    <w:multiLevelType w:val="multilevel"/>
    <w:nsid w:val="2F000002"/>
    <w:tmpl w:val="49F41C8B"/>
    <w:lvl w:ilvl="0">
      <w:lvlJc w:val="left"/>
      <w:numFmt w:val="decimal"/>
      <w:start w:val="1"/>
      <w:suff w:val="tab"/>
      <w:pPr>
        <w:ind w:left="360" w:hanging="360"/>
        <w:jc w:val="both"/>
      </w:pPr>
      <w:rPr>
        <w:b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08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180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52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24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396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468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40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120" w:hanging="180"/>
        <w:jc w:val="both"/>
      </w:pPr>
      <w:lvlText w:val="%9.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ordWrap/>
      </w:pPr>
    </w:pPrDefault>
    <w:rPrDefault>
      <w:rPr>
        <w:color w:val="000000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  <w:style w:styleId="PO153" w:type="paragraph">
    <w:name w:val="Balloon Text"/>
    <w:basedOn w:val="PO1"/>
    <w:link w:val="PO154"/>
    <w:uiPriority w:val="153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4" w:type="character">
    <w:name w:val="Texto de globo Car"/>
    <w:basedOn w:val="PO2"/>
    <w:link w:val="PO153"/>
    <w:uiPriority w:val="154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5697</Characters>
  <CharactersWithSpaces>0</CharactersWithSpaces>
  <DocSecurity>0</DocSecurity>
  <HyperlinksChanged>false</HyperlinksChanged>
  <Lines>40</Lines>
  <LinksUpToDate>false</LinksUpToDate>
  <Pages>4</Pages>
  <Paragraphs>11</Paragraphs>
  <Words>878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2018-04-25T22:22:00Z</dcterms:modified>
</cp:coreProperties>
</file>