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8"/>
          <w:szCs w:val="28"/>
          <w:rFonts w:ascii="Times" w:eastAsia="Times" w:hAnsi="Times" w:hint="default"/>
        </w:rPr>
        <w:t xml:space="preserve">Diagrama de Secuencia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658745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439/fImage2245361646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93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4"/>
          <w:szCs w:val="24"/>
          <w:rFonts w:ascii="Times New Roman" w:eastAsia="Times New Roman" w:hAnsi="Times New Roman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4"/>
          <w:szCs w:val="24"/>
          <w:rFonts w:ascii="Times" w:eastAsia="Times" w:hAnsi="Times" w:hint="default"/>
        </w:rPr>
        <w:t xml:space="preserve">Ejemplo s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874645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439/fImage1461141790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75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Tenemos dos (2)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>objetos: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</w:t>
      </w:r>
      <w:r>
        <w:rPr>
          <w:spacing w:val="0"/>
          <w:i w:val="0"/>
          <w:b w:val="1"/>
          <w:color w:val="000000"/>
          <w:sz w:val="20"/>
          <w:szCs w:val="20"/>
          <w:rFonts w:ascii="Times" w:eastAsia="Times" w:hAnsi="Times" w:hint="default"/>
        </w:rPr>
        <w:t xml:space="preserve">comprador y caja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. A partir de dichos objetos, se puede visualizar que surjen, para cada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uno, una línea vertical (de cada objeto siempre sale una línea vertical); esas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líneas verticales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son las llamadas: </w:t>
      </w:r>
      <w:r>
        <w:rPr>
          <w:spacing w:val="0"/>
          <w:i w:val="1"/>
          <w:b w:val="1"/>
          <w:color w:val="000000"/>
          <w:sz w:val="20"/>
          <w:szCs w:val="20"/>
          <w:rFonts w:ascii="Times" w:eastAsia="Times" w:hAnsi="Times" w:hint="default"/>
        </w:rPr>
        <w:t xml:space="preserve">líneas de vida.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 es casual que las líneas sean verticales; pues, se debe recordar, que el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tiempo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será leído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arriba hacia abajo.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Mensaje de llamada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mensaje de llamada se representa por medio de una flecha puntero de cabeza o punta rellena en la que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solicita algo; en este caso, lo que se está pidiendo (invocando) con ella es un método de otro objeto para que,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éste último, le pase una respuesta a raiz de dicho llamado; en este caso, es el objeto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comprador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quien está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invocando un método del objeto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caja.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Al mensaje enviado, donde se solicita dicho método, se le asigna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nombre; es decir, al metodo solicitado se le pasa siempre un nombre; ese nombre que recibe se le conoce como: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etiqueta.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 este caso, la etiqueta del método solicitado es: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CalcularTotal.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Entonces, hasta ahora,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comprador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está invocando de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caja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método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CalcularTotal.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si se ha dado cuenta,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viene acompañado por un número, este número se coloca de manera intencional para, justamente,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conocer el orden y la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secuencia de interacción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en la cual se están llevando a cabo los mensajes; entonces, como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etiqueta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nuestro primer mensaje se le asigna un número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 1.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parentesis: Las etiquetas pueden venir acompañadas de parametros en caso que, la solicitud de nuestro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método, requiera de una respuesta más precisa, puntual o más concreta. Por ejemplo, si el método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tuviera parámetros en su solicitud se vería así: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CalcularTotal(parámetros)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-entre parentesis se colocan los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parámetros de interés.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Retomando, en el mensaje de llamada hay un objeto A que invoca un método del que se espera una respuesta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asistida por un objeto B.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Luego de un tiempo, objeto B responde a objeto A por medio de un mensaje de respuesta a su solicitud 1.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La respuesta a la solicitud 1. se representa númericamente como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1.1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debido a que su existencia depende o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debió inicialmente de la solicitud del mensaje de llamada; entonces, el primer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para dejar claro que la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respuesta se da en relación a una solicitud número 1 (justamente); mas, como es la primera respuesta a esa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solicitud 1, entonces, se pone: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1.1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(y no 1.2 o 1.3, etc).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Ahora, la respuesta a ese mensaje de llamada se representa, gráficamente, con una una flecha invertida; pero, sin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 cabeza o punta rellenada (tal como se ve en el ejemplo).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Ejemplo 2: Mensaje asíncrono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771140"/>
            <wp:effectExtent l="0" t="0" r="0" b="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439/fImage1172352038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717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Acá no se espera respuestas. Si bien Objeto A manda un mensaje, invoca un método del objeto B, no se espera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una mensaje de respuesta por parte de Objeto B en cuestión.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Ejempl o 3: Auto Mensaje 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2780" cy="2950845"/>
            <wp:effectExtent l="0" t="0" r="0" b="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robertovelasquezdean/Library/Group Containers/L48J367XN4.com.infraware.PolarisOffice/EngineTemp/439/fImage1198452181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14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Acá el Objeto A se manda un mensaje así mismo. Atrás su representación gráfica. El auto-mensaje también se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puede rotular, pasarle una etiqueta, justo después de la enumeración número 2., donde se explicaría de qué trata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mensaje particular; por ejemplo, “2: descripción, por medio de etiqueta, de este auto-mensaje”.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Ejempl o 4: Mensaje recursivo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882265"/>
            <wp:effectExtent l="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robertovelasquezdean/Library/Group Containers/L48J367XN4.com.infraware.PolarisOffice/EngineTemp/439/fImage10770115157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2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Es prácticamente un auto-mensaje con recursión, visualmente la diferencia se nota por la existencia de un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mini-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rectangulo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superpuesto sobre otro mayor en la misma línea de vida del Objeto A. Este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mini-rectangulo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nos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indica recursión. Lo otro particular que me causa intriga es que, acá, sí se evidencia una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auto-solicitud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de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método, el cual es: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CalcularCosto.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t xml:space="preserve">Ejempl o 5: Mensaje encontrado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1"/>
          <w:color w:val="000000"/>
          <w:sz w:val="22"/>
          <w:szCs w:val="22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2994025"/>
            <wp:effectExtent l="0" t="0" r="0" b="0"/>
            <wp:docPr id="1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robertovelasquezdean/Library/Group Containers/L48J367XN4.com.infraware.PolarisOffice/EngineTemp/439/fImage1239431886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4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Mensaje Encontrado consiste en que, uno de nuestros Objetos que hacen parte de nuestro diagrama, recibe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mensaje donde se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invoca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método; pero, el Objeto que envía dicho mensaje realmente no hace parte del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diagrame, sí del sistema en su conjunto, pero no del diagrama (está fuera de nuestro análisis dentro del diagrama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secuencia); entonces, sepa siempre que, a ese Objeto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unknown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se le representa con un circulo negro relleno y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que, luego, se complementa con una flecha puntera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que apunta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hacia el Objeto de interés que sí hace parte de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nuestro diagrama y al que se le solicita la respuesta de un método; en este caso, el método es: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 xml:space="preserve">Imprimir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(tal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como se ve en en nuestro ejemplo).</w:t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5731510" cy="3115310"/>
            <wp:effectExtent l="0" t="0" r="0" b="0"/>
            <wp:docPr id="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robertovelasquezdean/Library/Group Containers/L48J367XN4.com.infraware.PolarisOffice/EngineTemp/439/fImage12405019746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59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Un Mensaje Perdido es todo lo contrario a un mensaje Encontrado; es decir, seremos nosotros los que vamos a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tener un Objeto dentro de nuestro diagrama que enviará un mensaje, pero, quién lo estará recibiendo, será un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Objeto que no hace parte del diagrama en sí mismo (sí hace parte del sistema, mas no del diagrama) y, recuerde,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todo Objeto que no haga parte del diagrama se representa con un circulo relleno de color negro. En nuestro caso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el Mensaje Pérdido será el método que lleva por etiqueta el nombre de: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Notificar;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 se espera entonces que, el 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método invocado </w:t>
      </w:r>
      <w:r>
        <w:rPr>
          <w:spacing w:val="0"/>
          <w:i w:val="1"/>
          <w:b w:val="0"/>
          <w:color w:val="000000"/>
          <w:sz w:val="20"/>
          <w:szCs w:val="20"/>
          <w:rFonts w:ascii="Times" w:eastAsia="Times" w:hAnsi="Times" w:hint="default"/>
        </w:rPr>
        <w:t>Notificar</w:t>
      </w:r>
      <w:r>
        <w:rPr>
          <w:spacing w:val="0"/>
          <w:i w:val="0"/>
          <w:b w:val="0"/>
          <w:color w:val="000000"/>
          <w:sz w:val="20"/>
          <w:szCs w:val="20"/>
          <w:rFonts w:ascii="Times" w:eastAsia="Times" w:hAnsi="Times" w:hint="default"/>
        </w:rPr>
        <w:t xml:space="preserve">, sea respondido por un Objeto que está por fuera del diagrama.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2"/>
      <w:footerReference w:type="default" r:id="rId13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i w:val="0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numPr>
        <w:ilvl w:val="0"/>
        <w:numId w:val="0"/>
      </w:numPr>
      <w:jc w:val="both"/>
      <w:spacing w:lineRule="auto" w:line="259" w:before="0" w:after="0"/>
      <w:widowControl w:val="1"/>
      <w:ind w:right="0" w:left="0" w:firstLine="0"/>
      <w:rPr>
        <w:spacing w:val="0"/>
        <w:vertAlign w:val="baseline"/>
        <w:color w:val="auto"/>
        <w:position w:val="0"/>
        <w:sz w:val="22"/>
        <w:szCs w:val="22"/>
        <w:smallCaps w:val="0"/>
        <w:rFonts w:ascii="Times New Roman" w:eastAsia="Times New Roman" w:hAnsi="Times New Roman" w:hint="default"/>
      </w:rPr>
      <w:wordWrap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2453616462.png"></Relationship><Relationship Id="rId6" Type="http://schemas.openxmlformats.org/officeDocument/2006/relationships/image" Target="media/fImage146114179010.png"></Relationship><Relationship Id="rId7" Type="http://schemas.openxmlformats.org/officeDocument/2006/relationships/image" Target="media/fImage117235203819.png"></Relationship><Relationship Id="rId8" Type="http://schemas.openxmlformats.org/officeDocument/2006/relationships/image" Target="media/fImage119845218150.png"></Relationship><Relationship Id="rId9" Type="http://schemas.openxmlformats.org/officeDocument/2006/relationships/image" Target="media/fImage107701151576.png"></Relationship><Relationship Id="rId10" Type="http://schemas.openxmlformats.org/officeDocument/2006/relationships/image" Target="media/fImage123943188666.png"></Relationship><Relationship Id="rId11" Type="http://schemas.openxmlformats.org/officeDocument/2006/relationships/image" Target="media/fImage124050197467.png"></Relationship><Relationship Id="rId12" Type="http://schemas.openxmlformats.org/officeDocument/2006/relationships/header" Target="header2.xml"></Relationship><Relationship Id="rId13" Type="http://schemas.openxmlformats.org/officeDocument/2006/relationships/footer" Target="footer3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495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